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77A" w:rsidRPr="006420C1" w:rsidRDefault="0087777A" w:rsidP="00DE7165">
      <w:pPr>
        <w:rPr>
          <w:szCs w:val="18"/>
        </w:rPr>
      </w:pPr>
      <w:r w:rsidRPr="006420C1">
        <w:rPr>
          <w:szCs w:val="18"/>
        </w:rPr>
        <w:t>Iedereen verdient een kans op de arbeidsmarkt. Het doel van de Participatiewet en de Wet banenafspraak</w:t>
      </w:r>
      <w:r w:rsidR="00D4206C" w:rsidRPr="006420C1">
        <w:rPr>
          <w:szCs w:val="18"/>
        </w:rPr>
        <w:t xml:space="preserve"> en quotum arbei</w:t>
      </w:r>
      <w:r w:rsidR="008E6169">
        <w:rPr>
          <w:szCs w:val="18"/>
        </w:rPr>
        <w:t>dsbeperkten (Wet banenafspraak)</w:t>
      </w:r>
      <w:r w:rsidRPr="006420C1">
        <w:rPr>
          <w:szCs w:val="18"/>
        </w:rPr>
        <w:t xml:space="preserve"> is om de mensen </w:t>
      </w:r>
      <w:r w:rsidR="00837C91" w:rsidRPr="006420C1">
        <w:rPr>
          <w:szCs w:val="18"/>
        </w:rPr>
        <w:t xml:space="preserve">met een beperking </w:t>
      </w:r>
      <w:r w:rsidR="001F67B7" w:rsidRPr="006420C1">
        <w:rPr>
          <w:szCs w:val="18"/>
        </w:rPr>
        <w:t>meer kansen te geven</w:t>
      </w:r>
      <w:r w:rsidR="00AA3691" w:rsidRPr="006420C1">
        <w:rPr>
          <w:szCs w:val="18"/>
        </w:rPr>
        <w:t xml:space="preserve"> </w:t>
      </w:r>
      <w:r w:rsidR="00D2395C">
        <w:rPr>
          <w:szCs w:val="18"/>
        </w:rPr>
        <w:t xml:space="preserve"> en zo te komen tot </w:t>
      </w:r>
      <w:r w:rsidRPr="006420C1">
        <w:rPr>
          <w:szCs w:val="18"/>
        </w:rPr>
        <w:t>een inclusieve arbeidsmarkt. Met de afspraken in het sociaal akkoord van 11 april 2013</w:t>
      </w:r>
      <w:r w:rsidR="00D4206C" w:rsidRPr="006420C1">
        <w:rPr>
          <w:szCs w:val="18"/>
        </w:rPr>
        <w:t xml:space="preserve"> om 125.000 banen voor de doelgroep</w:t>
      </w:r>
      <w:r w:rsidR="00837C91">
        <w:rPr>
          <w:szCs w:val="18"/>
        </w:rPr>
        <w:t xml:space="preserve"> van de banenafspraak</w:t>
      </w:r>
      <w:r w:rsidR="00D4206C" w:rsidRPr="006420C1">
        <w:rPr>
          <w:szCs w:val="18"/>
        </w:rPr>
        <w:t xml:space="preserve"> </w:t>
      </w:r>
      <w:r w:rsidR="00C3382E" w:rsidRPr="006420C1">
        <w:rPr>
          <w:szCs w:val="18"/>
        </w:rPr>
        <w:t>te creëren,</w:t>
      </w:r>
      <w:r w:rsidRPr="006420C1">
        <w:rPr>
          <w:szCs w:val="18"/>
        </w:rPr>
        <w:t xml:space="preserve"> hebben de sociale partne</w:t>
      </w:r>
      <w:r w:rsidR="003345EA" w:rsidRPr="006420C1">
        <w:rPr>
          <w:szCs w:val="18"/>
        </w:rPr>
        <w:t>r</w:t>
      </w:r>
      <w:r w:rsidRPr="006420C1">
        <w:rPr>
          <w:szCs w:val="18"/>
        </w:rPr>
        <w:t xml:space="preserve">s getoond dat ze zich voor mensen met een arbeidsbeperking willen inzetten en zich verbinden aan de doelstelling van het kabinet. </w:t>
      </w:r>
    </w:p>
    <w:p w:rsidR="0087777A" w:rsidRPr="006420C1" w:rsidRDefault="0087777A" w:rsidP="00DE7165">
      <w:pPr>
        <w:rPr>
          <w:szCs w:val="18"/>
        </w:rPr>
      </w:pPr>
    </w:p>
    <w:p w:rsidR="003F0CF2" w:rsidRPr="006420C1" w:rsidRDefault="0087777A" w:rsidP="00DE7165">
      <w:pPr>
        <w:rPr>
          <w:szCs w:val="18"/>
        </w:rPr>
      </w:pPr>
      <w:r w:rsidRPr="006420C1">
        <w:rPr>
          <w:szCs w:val="18"/>
        </w:rPr>
        <w:t xml:space="preserve">De Participatiewet en de </w:t>
      </w:r>
      <w:r w:rsidR="001F67B7" w:rsidRPr="006420C1">
        <w:rPr>
          <w:szCs w:val="18"/>
        </w:rPr>
        <w:t xml:space="preserve">Wet banenafspraak </w:t>
      </w:r>
      <w:r w:rsidRPr="006420C1">
        <w:rPr>
          <w:szCs w:val="18"/>
        </w:rPr>
        <w:t xml:space="preserve">zijn in 2015 van kracht geworden en bieden handvatten om de 125.000 afgesproken banen te realiseren. </w:t>
      </w:r>
      <w:r w:rsidR="00B71AEA" w:rsidRPr="006420C1">
        <w:rPr>
          <w:szCs w:val="18"/>
        </w:rPr>
        <w:t xml:space="preserve">Werkgevers </w:t>
      </w:r>
      <w:r w:rsidR="00067F65" w:rsidRPr="006420C1">
        <w:rPr>
          <w:szCs w:val="18"/>
        </w:rPr>
        <w:t xml:space="preserve">zijn </w:t>
      </w:r>
      <w:r w:rsidR="00B71AEA" w:rsidRPr="006420C1">
        <w:rPr>
          <w:szCs w:val="18"/>
        </w:rPr>
        <w:t xml:space="preserve">in samenwerking met </w:t>
      </w:r>
      <w:r w:rsidR="001F67B7" w:rsidRPr="006420C1">
        <w:rPr>
          <w:szCs w:val="18"/>
        </w:rPr>
        <w:t>onder andere</w:t>
      </w:r>
      <w:r w:rsidR="00B71AEA" w:rsidRPr="006420C1">
        <w:rPr>
          <w:szCs w:val="18"/>
        </w:rPr>
        <w:t xml:space="preserve"> g</w:t>
      </w:r>
      <w:r w:rsidRPr="006420C1">
        <w:rPr>
          <w:szCs w:val="18"/>
        </w:rPr>
        <w:t>emeenten, UWV</w:t>
      </w:r>
      <w:r w:rsidR="00B71AEA" w:rsidRPr="006420C1">
        <w:rPr>
          <w:szCs w:val="18"/>
        </w:rPr>
        <w:t xml:space="preserve">, </w:t>
      </w:r>
      <w:r w:rsidR="001F67B7" w:rsidRPr="006420C1">
        <w:rPr>
          <w:szCs w:val="18"/>
        </w:rPr>
        <w:t>sw</w:t>
      </w:r>
      <w:r w:rsidR="00B71AEA" w:rsidRPr="006420C1">
        <w:rPr>
          <w:szCs w:val="18"/>
        </w:rPr>
        <w:t xml:space="preserve">-bedrijven en scholen </w:t>
      </w:r>
      <w:r w:rsidRPr="006420C1">
        <w:rPr>
          <w:szCs w:val="18"/>
        </w:rPr>
        <w:t xml:space="preserve">met grote inzet bezig om de Participatiewet en de banenafspraak </w:t>
      </w:r>
      <w:r w:rsidR="003345EA" w:rsidRPr="006420C1">
        <w:rPr>
          <w:szCs w:val="18"/>
        </w:rPr>
        <w:t>uit te voeren</w:t>
      </w:r>
      <w:r w:rsidRPr="006420C1">
        <w:rPr>
          <w:szCs w:val="18"/>
        </w:rPr>
        <w:t>.</w:t>
      </w:r>
      <w:r w:rsidR="003F0CF2" w:rsidRPr="006420C1">
        <w:rPr>
          <w:szCs w:val="18"/>
        </w:rPr>
        <w:t xml:space="preserve"> </w:t>
      </w:r>
      <w:r w:rsidR="00D4206C" w:rsidRPr="006420C1">
        <w:rPr>
          <w:szCs w:val="18"/>
        </w:rPr>
        <w:t>De opgave was dat de sector markt ten opzichte van de nulmeting (1 januari 2013) tot en met</w:t>
      </w:r>
      <w:r w:rsidR="00821CC0">
        <w:rPr>
          <w:szCs w:val="18"/>
        </w:rPr>
        <w:t xml:space="preserve"> eind</w:t>
      </w:r>
      <w:r w:rsidR="00D4206C" w:rsidRPr="006420C1">
        <w:rPr>
          <w:szCs w:val="18"/>
        </w:rPr>
        <w:t xml:space="preserve"> 2015 6.000 banen zou realiseren, voor de sector overheid waren dat 3.000 banen. </w:t>
      </w:r>
      <w:r w:rsidRPr="006420C1">
        <w:rPr>
          <w:szCs w:val="18"/>
        </w:rPr>
        <w:t xml:space="preserve">Met deze brief </w:t>
      </w:r>
      <w:r w:rsidR="003F0CF2" w:rsidRPr="006420C1">
        <w:rPr>
          <w:szCs w:val="18"/>
        </w:rPr>
        <w:t xml:space="preserve"> informe</w:t>
      </w:r>
      <w:r w:rsidR="00F24031" w:rsidRPr="006420C1">
        <w:rPr>
          <w:szCs w:val="18"/>
        </w:rPr>
        <w:t>e</w:t>
      </w:r>
      <w:r w:rsidR="003F0CF2" w:rsidRPr="006420C1">
        <w:rPr>
          <w:szCs w:val="18"/>
        </w:rPr>
        <w:t>r</w:t>
      </w:r>
      <w:r w:rsidR="00F24031" w:rsidRPr="006420C1">
        <w:rPr>
          <w:szCs w:val="18"/>
        </w:rPr>
        <w:t xml:space="preserve"> ik u</w:t>
      </w:r>
      <w:r w:rsidRPr="006420C1">
        <w:rPr>
          <w:szCs w:val="18"/>
        </w:rPr>
        <w:t xml:space="preserve"> </w:t>
      </w:r>
      <w:r w:rsidR="003F0CF2" w:rsidRPr="006420C1">
        <w:rPr>
          <w:szCs w:val="18"/>
        </w:rPr>
        <w:t>o</w:t>
      </w:r>
      <w:r w:rsidRPr="006420C1">
        <w:rPr>
          <w:szCs w:val="18"/>
        </w:rPr>
        <w:t>ver de resultaten van de eerste meting</w:t>
      </w:r>
      <w:r w:rsidR="001F67B7" w:rsidRPr="006420C1">
        <w:rPr>
          <w:szCs w:val="18"/>
        </w:rPr>
        <w:t>, de één-meting,</w:t>
      </w:r>
      <w:r w:rsidR="00821CC0">
        <w:rPr>
          <w:szCs w:val="18"/>
        </w:rPr>
        <w:t xml:space="preserve"> eind </w:t>
      </w:r>
      <w:r w:rsidRPr="006420C1">
        <w:rPr>
          <w:szCs w:val="18"/>
        </w:rPr>
        <w:t xml:space="preserve">2015. </w:t>
      </w:r>
    </w:p>
    <w:p w:rsidR="003F0CF2" w:rsidRPr="006420C1" w:rsidRDefault="003F0CF2" w:rsidP="00DE7165">
      <w:pPr>
        <w:rPr>
          <w:szCs w:val="18"/>
        </w:rPr>
      </w:pPr>
    </w:p>
    <w:p w:rsidR="0098065E" w:rsidRPr="006420C1" w:rsidRDefault="00837C91" w:rsidP="00DE7165">
      <w:pPr>
        <w:rPr>
          <w:szCs w:val="18"/>
        </w:rPr>
      </w:pPr>
      <w:r>
        <w:rPr>
          <w:szCs w:val="18"/>
        </w:rPr>
        <w:t xml:space="preserve">Op dinsdag 12 juli 2016 heeft de Raad van Bestuur van UWV de cijfers van de </w:t>
      </w:r>
      <w:r w:rsidRPr="006420C1">
        <w:rPr>
          <w:szCs w:val="18"/>
        </w:rPr>
        <w:t>één-meting</w:t>
      </w:r>
      <w:r>
        <w:rPr>
          <w:szCs w:val="18"/>
        </w:rPr>
        <w:t xml:space="preserve"> vastgesteld. </w:t>
      </w:r>
      <w:r w:rsidR="00771D30" w:rsidRPr="006420C1">
        <w:rPr>
          <w:szCs w:val="18"/>
        </w:rPr>
        <w:t xml:space="preserve">Ik </w:t>
      </w:r>
      <w:r w:rsidR="00292205" w:rsidRPr="006420C1">
        <w:rPr>
          <w:szCs w:val="18"/>
        </w:rPr>
        <w:t xml:space="preserve">ben </w:t>
      </w:r>
      <w:r w:rsidR="00771D30" w:rsidRPr="006420C1">
        <w:rPr>
          <w:szCs w:val="18"/>
        </w:rPr>
        <w:t>verheugd uw Kamer te kunnen</w:t>
      </w:r>
      <w:r w:rsidR="00674148">
        <w:rPr>
          <w:szCs w:val="18"/>
        </w:rPr>
        <w:t xml:space="preserve"> </w:t>
      </w:r>
      <w:r w:rsidR="00D2395C">
        <w:rPr>
          <w:szCs w:val="18"/>
        </w:rPr>
        <w:t>melden</w:t>
      </w:r>
      <w:r w:rsidR="00771D30" w:rsidRPr="006420C1">
        <w:rPr>
          <w:szCs w:val="18"/>
        </w:rPr>
        <w:t xml:space="preserve"> dat de</w:t>
      </w:r>
      <w:r>
        <w:rPr>
          <w:szCs w:val="18"/>
        </w:rPr>
        <w:t>ze</w:t>
      </w:r>
      <w:r w:rsidR="00771D30" w:rsidRPr="006420C1">
        <w:rPr>
          <w:szCs w:val="18"/>
        </w:rPr>
        <w:t xml:space="preserve"> cijfers laten zien dat er</w:t>
      </w:r>
      <w:r w:rsidR="007968A5" w:rsidRPr="006420C1">
        <w:rPr>
          <w:szCs w:val="18"/>
        </w:rPr>
        <w:t xml:space="preserve"> </w:t>
      </w:r>
      <w:r w:rsidR="00EA752D" w:rsidRPr="006420C1">
        <w:rPr>
          <w:szCs w:val="18"/>
        </w:rPr>
        <w:t>eind</w:t>
      </w:r>
      <w:r w:rsidR="007968A5" w:rsidRPr="006420C1">
        <w:rPr>
          <w:szCs w:val="18"/>
        </w:rPr>
        <w:t xml:space="preserve"> 201</w:t>
      </w:r>
      <w:r w:rsidR="00EA752D" w:rsidRPr="006420C1">
        <w:rPr>
          <w:szCs w:val="18"/>
        </w:rPr>
        <w:t xml:space="preserve">5 </w:t>
      </w:r>
      <w:r w:rsidR="003F0CF2" w:rsidRPr="006420C1">
        <w:rPr>
          <w:szCs w:val="18"/>
        </w:rPr>
        <w:t>ten opzichte van de nulmeting</w:t>
      </w:r>
      <w:r w:rsidR="009506A1" w:rsidRPr="006420C1">
        <w:rPr>
          <w:szCs w:val="18"/>
        </w:rPr>
        <w:t xml:space="preserve"> </w:t>
      </w:r>
      <w:r w:rsidR="00EA752D" w:rsidRPr="006420C1">
        <w:rPr>
          <w:szCs w:val="18"/>
        </w:rPr>
        <w:t>2</w:t>
      </w:r>
      <w:r w:rsidR="00180368" w:rsidRPr="006420C1">
        <w:rPr>
          <w:szCs w:val="18"/>
        </w:rPr>
        <w:t>1</w:t>
      </w:r>
      <w:r w:rsidR="001F67B7" w:rsidRPr="006420C1">
        <w:rPr>
          <w:szCs w:val="18"/>
        </w:rPr>
        <w:t>.</w:t>
      </w:r>
      <w:r w:rsidR="00A71388" w:rsidRPr="006420C1">
        <w:rPr>
          <w:szCs w:val="18"/>
        </w:rPr>
        <w:t>057</w:t>
      </w:r>
      <w:r w:rsidR="00431C35" w:rsidRPr="006420C1">
        <w:rPr>
          <w:szCs w:val="18"/>
        </w:rPr>
        <w:t xml:space="preserve"> </w:t>
      </w:r>
      <w:r w:rsidR="00EA752D" w:rsidRPr="006420C1">
        <w:rPr>
          <w:szCs w:val="18"/>
        </w:rPr>
        <w:t>banen</w:t>
      </w:r>
      <w:r w:rsidR="00771D30" w:rsidRPr="006420C1">
        <w:rPr>
          <w:szCs w:val="18"/>
        </w:rPr>
        <w:t xml:space="preserve"> </w:t>
      </w:r>
      <w:r w:rsidR="00431C35" w:rsidRPr="006420C1">
        <w:rPr>
          <w:szCs w:val="18"/>
        </w:rPr>
        <w:t xml:space="preserve">bij reguliere werkgevers </w:t>
      </w:r>
      <w:r w:rsidR="00771D30" w:rsidRPr="006420C1">
        <w:rPr>
          <w:szCs w:val="18"/>
        </w:rPr>
        <w:t>zijn</w:t>
      </w:r>
      <w:r w:rsidR="00EA752D" w:rsidRPr="006420C1">
        <w:rPr>
          <w:szCs w:val="18"/>
        </w:rPr>
        <w:t xml:space="preserve"> gerealiseerd voor mensen met een arbeidsbeperking</w:t>
      </w:r>
      <w:r w:rsidR="001F67B7" w:rsidRPr="006420C1">
        <w:rPr>
          <w:szCs w:val="18"/>
        </w:rPr>
        <w:t xml:space="preserve">. Het gaat om </w:t>
      </w:r>
      <w:r w:rsidR="00180368" w:rsidRPr="006420C1">
        <w:rPr>
          <w:szCs w:val="18"/>
        </w:rPr>
        <w:t>1</w:t>
      </w:r>
      <w:r w:rsidR="0076031D" w:rsidRPr="006420C1">
        <w:rPr>
          <w:szCs w:val="18"/>
        </w:rPr>
        <w:t>5</w:t>
      </w:r>
      <w:r w:rsidR="00180368" w:rsidRPr="006420C1">
        <w:rPr>
          <w:szCs w:val="18"/>
        </w:rPr>
        <w:t xml:space="preserve">.604 banen </w:t>
      </w:r>
      <w:r w:rsidR="001F67B7" w:rsidRPr="006420C1">
        <w:rPr>
          <w:szCs w:val="18"/>
        </w:rPr>
        <w:t xml:space="preserve">bij de sector </w:t>
      </w:r>
      <w:r w:rsidR="00180368" w:rsidRPr="006420C1">
        <w:rPr>
          <w:szCs w:val="18"/>
        </w:rPr>
        <w:t xml:space="preserve">markt en 5.453 banen bij de </w:t>
      </w:r>
      <w:r w:rsidR="001F67B7" w:rsidRPr="006420C1">
        <w:rPr>
          <w:szCs w:val="18"/>
        </w:rPr>
        <w:t xml:space="preserve">sector </w:t>
      </w:r>
      <w:r w:rsidR="00180368" w:rsidRPr="006420C1">
        <w:rPr>
          <w:szCs w:val="18"/>
        </w:rPr>
        <w:t>overheid</w:t>
      </w:r>
      <w:r w:rsidR="00EA752D" w:rsidRPr="006420C1">
        <w:rPr>
          <w:szCs w:val="18"/>
        </w:rPr>
        <w:t xml:space="preserve">. </w:t>
      </w:r>
      <w:r w:rsidR="003F0CF2" w:rsidRPr="006420C1">
        <w:rPr>
          <w:szCs w:val="18"/>
        </w:rPr>
        <w:t>Werkgevers</w:t>
      </w:r>
      <w:r w:rsidR="00D4206C" w:rsidRPr="006420C1">
        <w:rPr>
          <w:szCs w:val="18"/>
        </w:rPr>
        <w:t>,</w:t>
      </w:r>
      <w:r>
        <w:rPr>
          <w:szCs w:val="18"/>
        </w:rPr>
        <w:t xml:space="preserve"> </w:t>
      </w:r>
      <w:r w:rsidR="00D4206C" w:rsidRPr="006420C1">
        <w:rPr>
          <w:szCs w:val="18"/>
        </w:rPr>
        <w:t xml:space="preserve">zowel in de sector markt als in de sector overheid, </w:t>
      </w:r>
      <w:r w:rsidR="003F0CF2" w:rsidRPr="006420C1">
        <w:rPr>
          <w:szCs w:val="18"/>
        </w:rPr>
        <w:t>hebben daarmee de doelstelling van</w:t>
      </w:r>
      <w:r>
        <w:rPr>
          <w:szCs w:val="18"/>
        </w:rPr>
        <w:t xml:space="preserve"> respectievelijk 6.000 en 3.000 banen </w:t>
      </w:r>
      <w:r w:rsidR="00821CC0">
        <w:rPr>
          <w:szCs w:val="18"/>
        </w:rPr>
        <w:t>eind</w:t>
      </w:r>
      <w:r w:rsidR="003F0CF2" w:rsidRPr="006420C1">
        <w:rPr>
          <w:szCs w:val="18"/>
        </w:rPr>
        <w:t xml:space="preserve"> 2015 </w:t>
      </w:r>
      <w:r w:rsidR="00F24031" w:rsidRPr="006420C1">
        <w:rPr>
          <w:szCs w:val="18"/>
        </w:rPr>
        <w:t>ruimschoots g</w:t>
      </w:r>
      <w:r w:rsidR="003F0CF2" w:rsidRPr="006420C1">
        <w:rPr>
          <w:szCs w:val="18"/>
        </w:rPr>
        <w:t xml:space="preserve">ehaald. </w:t>
      </w:r>
      <w:r w:rsidR="00190FDA">
        <w:rPr>
          <w:szCs w:val="18"/>
        </w:rPr>
        <w:t xml:space="preserve">Door dit resultaat is er geen aanleiding om de quotumregeling te activeren. </w:t>
      </w:r>
    </w:p>
    <w:p w:rsidR="006A083D" w:rsidRPr="006420C1" w:rsidRDefault="006A083D" w:rsidP="00DE7165">
      <w:pPr>
        <w:rPr>
          <w:b/>
          <w:szCs w:val="18"/>
        </w:rPr>
      </w:pPr>
    </w:p>
    <w:p w:rsidR="004A58CD" w:rsidRPr="006420C1" w:rsidRDefault="002D7A86" w:rsidP="00DE7165">
      <w:pPr>
        <w:rPr>
          <w:b/>
          <w:szCs w:val="18"/>
        </w:rPr>
      </w:pPr>
      <w:r w:rsidRPr="006420C1">
        <w:rPr>
          <w:b/>
          <w:szCs w:val="18"/>
        </w:rPr>
        <w:t>Toelichting r</w:t>
      </w:r>
      <w:r w:rsidR="004A58CD" w:rsidRPr="006420C1">
        <w:rPr>
          <w:b/>
          <w:szCs w:val="18"/>
        </w:rPr>
        <w:t xml:space="preserve">esultaten </w:t>
      </w:r>
      <w:r w:rsidR="00154BF3" w:rsidRPr="006420C1">
        <w:rPr>
          <w:b/>
          <w:szCs w:val="18"/>
        </w:rPr>
        <w:t>één-meting</w:t>
      </w:r>
      <w:r w:rsidR="004A58CD" w:rsidRPr="006420C1">
        <w:rPr>
          <w:b/>
          <w:szCs w:val="18"/>
        </w:rPr>
        <w:t xml:space="preserve"> banenafspraak</w:t>
      </w:r>
    </w:p>
    <w:p w:rsidR="003F0CF2" w:rsidRPr="006420C1" w:rsidRDefault="003F0CF2" w:rsidP="00DE7165">
      <w:pPr>
        <w:rPr>
          <w:i/>
          <w:szCs w:val="18"/>
        </w:rPr>
      </w:pPr>
    </w:p>
    <w:p w:rsidR="004A58CD" w:rsidRPr="006420C1" w:rsidRDefault="004A58CD" w:rsidP="00DE7165">
      <w:pPr>
        <w:rPr>
          <w:b/>
          <w:i/>
          <w:szCs w:val="18"/>
        </w:rPr>
      </w:pPr>
      <w:r w:rsidRPr="006420C1">
        <w:rPr>
          <w:b/>
          <w:i/>
          <w:szCs w:val="18"/>
        </w:rPr>
        <w:t>Algemeen</w:t>
      </w:r>
    </w:p>
    <w:p w:rsidR="00D4206C" w:rsidRPr="006420C1" w:rsidRDefault="004A58CD" w:rsidP="00EB5B02">
      <w:pPr>
        <w:rPr>
          <w:szCs w:val="18"/>
        </w:rPr>
      </w:pPr>
      <w:r w:rsidRPr="006420C1">
        <w:rPr>
          <w:szCs w:val="18"/>
        </w:rPr>
        <w:t xml:space="preserve">In het sociaal akkoord van april 2013 </w:t>
      </w:r>
      <w:r w:rsidR="001F67B7" w:rsidRPr="006420C1">
        <w:rPr>
          <w:szCs w:val="18"/>
        </w:rPr>
        <w:t>hebben</w:t>
      </w:r>
      <w:r w:rsidRPr="006420C1">
        <w:rPr>
          <w:szCs w:val="18"/>
        </w:rPr>
        <w:t xml:space="preserve"> kabinet en sociale partners afgesproken dat er </w:t>
      </w:r>
      <w:r w:rsidR="00431C35" w:rsidRPr="006420C1">
        <w:rPr>
          <w:szCs w:val="18"/>
        </w:rPr>
        <w:t xml:space="preserve">eind 2025 </w:t>
      </w:r>
      <w:r w:rsidRPr="006420C1">
        <w:rPr>
          <w:szCs w:val="18"/>
        </w:rPr>
        <w:t xml:space="preserve">voor mensen met een arbeidsbeperking 100.000 banen in de markt worden gecreëerd en </w:t>
      </w:r>
      <w:r w:rsidR="000A2722" w:rsidRPr="006420C1">
        <w:rPr>
          <w:szCs w:val="18"/>
        </w:rPr>
        <w:t xml:space="preserve">eind 2023 </w:t>
      </w:r>
      <w:r w:rsidRPr="006420C1">
        <w:rPr>
          <w:szCs w:val="18"/>
        </w:rPr>
        <w:t xml:space="preserve">25.000 banen bij de overheid. </w:t>
      </w:r>
      <w:r w:rsidR="00431C35" w:rsidRPr="006420C1">
        <w:rPr>
          <w:szCs w:val="18"/>
        </w:rPr>
        <w:t xml:space="preserve">Het gaat om banen bij reguliere werkgevers. </w:t>
      </w:r>
      <w:r w:rsidR="00D4206C" w:rsidRPr="006420C1">
        <w:t xml:space="preserve">Een baan is gedefinieerd in verloonde uren. </w:t>
      </w:r>
      <w:r w:rsidR="00EB5B02" w:rsidRPr="006420C1">
        <w:t xml:space="preserve">Zoals ik de Tweede Kamer in </w:t>
      </w:r>
      <w:r w:rsidR="00FE661D">
        <w:t>mijn brief van 19 december 2014</w:t>
      </w:r>
      <w:r w:rsidR="00EB5B02" w:rsidRPr="006420C1">
        <w:rPr>
          <w:rStyle w:val="Voetnootmarkering"/>
          <w:szCs w:val="18"/>
        </w:rPr>
        <w:footnoteReference w:id="1"/>
      </w:r>
      <w:r w:rsidR="00EB5B02" w:rsidRPr="006420C1">
        <w:t xml:space="preserve"> heb </w:t>
      </w:r>
      <w:r w:rsidR="00D2395C">
        <w:t>gemeld</w:t>
      </w:r>
      <w:r w:rsidR="00D2395C" w:rsidRPr="006420C1">
        <w:t xml:space="preserve"> </w:t>
      </w:r>
      <w:r w:rsidR="00EB5B02" w:rsidRPr="006420C1">
        <w:t xml:space="preserve">wordt het aantal van 25,5 uur per week gehanteerd als de omvang </w:t>
      </w:r>
      <w:r w:rsidR="00EB5B02" w:rsidRPr="006420C1">
        <w:lastRenderedPageBreak/>
        <w:t>van één baan voor de doelgroep. Dit staat gelijk aan 110,92 uur per maand en 1</w:t>
      </w:r>
      <w:r w:rsidR="00B1663D" w:rsidRPr="006420C1">
        <w:t>.</w:t>
      </w:r>
      <w:r w:rsidR="00EB5B02" w:rsidRPr="006420C1">
        <w:t xml:space="preserve">331 uur per jaar. </w:t>
      </w:r>
      <w:r w:rsidR="00D4206C" w:rsidRPr="006420C1">
        <w:t>Een baan van 25,5 uur</w:t>
      </w:r>
      <w:r w:rsidR="00EB5B02" w:rsidRPr="006420C1">
        <w:t xml:space="preserve"> per week</w:t>
      </w:r>
      <w:r w:rsidR="00D4206C" w:rsidRPr="006420C1">
        <w:t xml:space="preserve"> is de gemiddelde omvang van een baan van iemand uit de doelgroep per week</w:t>
      </w:r>
      <w:r w:rsidR="00CF519B">
        <w:t xml:space="preserve"> die werkte tijdens de nulmeting</w:t>
      </w:r>
      <w:r w:rsidR="00D4206C" w:rsidRPr="006420C1">
        <w:t xml:space="preserve">, berekend op basis van de polisadministratie over het gehele kalenderjaar 2012. </w:t>
      </w:r>
      <w:r w:rsidR="00BB65B4" w:rsidRPr="006420C1">
        <w:t xml:space="preserve">Door het gemiddelde aantal uren over een volledig kalenderjaar te berekenen, wordt er rekening mee gehouden dat mensen uit de doelgroep mogelijk niet het volledige kalenderjaar werkzaam (kunnen) zijn. Het is logisch om hiermee rekening te houden, omdat werkgevers bij een eventuele quotumheffing worden beoordeeld over het volledige kalenderjaar. </w:t>
      </w:r>
      <w:r w:rsidR="00EB5B02" w:rsidRPr="006420C1">
        <w:t>Door de banen in uren te meten</w:t>
      </w:r>
      <w:r w:rsidR="00D4206C" w:rsidRPr="006420C1">
        <w:t xml:space="preserve"> wordt </w:t>
      </w:r>
      <w:r w:rsidR="00BB65B4" w:rsidRPr="006420C1">
        <w:t xml:space="preserve">bovendien </w:t>
      </w:r>
      <w:r w:rsidR="00D4206C" w:rsidRPr="006420C1">
        <w:t xml:space="preserve">gegarandeerd dat het bij deze banen om betekenisvolle banen gaat en niet om kleine banen van slechts een aantal uren per week. </w:t>
      </w:r>
      <w:r w:rsidR="00AA3691" w:rsidRPr="006420C1">
        <w:t>Deze 25,5 uur per week is het vertrekpunt voor de vaststelling van de toename van het aantal banen. Deze vaste definitie biedt zekerheid aan werkgevers bij het realiseren van de banenafspraak.</w:t>
      </w:r>
    </w:p>
    <w:p w:rsidR="00D4206C" w:rsidRPr="006420C1" w:rsidRDefault="00D4206C" w:rsidP="00C41709">
      <w:pPr>
        <w:rPr>
          <w:szCs w:val="18"/>
        </w:rPr>
      </w:pPr>
    </w:p>
    <w:p w:rsidR="00C41709" w:rsidRPr="006420C1" w:rsidRDefault="006A083D" w:rsidP="00C41709">
      <w:pPr>
        <w:rPr>
          <w:szCs w:val="18"/>
        </w:rPr>
      </w:pPr>
      <w:r w:rsidRPr="006420C1">
        <w:rPr>
          <w:szCs w:val="18"/>
        </w:rPr>
        <w:t xml:space="preserve">In het sociaal akkoord is afgesproken dat het kabinet, in samenspraak met sociale partners en gemeenten, op basis van de cijfers van eind 2015, voor het eerst in 2016 bekijkt of werkgevers afgesproken aantallen banen hebben gerealiseerd. </w:t>
      </w:r>
      <w:r w:rsidR="00EB5B02" w:rsidRPr="006420C1">
        <w:rPr>
          <w:szCs w:val="18"/>
        </w:rPr>
        <w:t>Voor</w:t>
      </w:r>
      <w:r w:rsidR="00C41709" w:rsidRPr="006420C1">
        <w:rPr>
          <w:szCs w:val="18"/>
        </w:rPr>
        <w:t xml:space="preserve"> de </w:t>
      </w:r>
      <w:r w:rsidR="00EB5B02" w:rsidRPr="006420C1">
        <w:rPr>
          <w:szCs w:val="18"/>
        </w:rPr>
        <w:t>één</w:t>
      </w:r>
      <w:r w:rsidR="00674148">
        <w:rPr>
          <w:szCs w:val="18"/>
        </w:rPr>
        <w:t>-</w:t>
      </w:r>
      <w:r w:rsidR="00EB5B02" w:rsidRPr="006420C1">
        <w:rPr>
          <w:szCs w:val="18"/>
        </w:rPr>
        <w:t>meting is</w:t>
      </w:r>
      <w:r w:rsidR="00C41709" w:rsidRPr="006420C1">
        <w:rPr>
          <w:szCs w:val="18"/>
        </w:rPr>
        <w:t xml:space="preserve"> het aantal banen </w:t>
      </w:r>
      <w:r w:rsidR="00EB5B02" w:rsidRPr="006420C1">
        <w:rPr>
          <w:szCs w:val="18"/>
        </w:rPr>
        <w:t>eind 2015</w:t>
      </w:r>
      <w:r w:rsidR="00C41709" w:rsidRPr="006420C1">
        <w:rPr>
          <w:szCs w:val="18"/>
        </w:rPr>
        <w:t xml:space="preserve"> afgezet tegen het aantal banen van de nulmeting van 1 januari 2013. </w:t>
      </w:r>
      <w:r w:rsidR="00EB5B02" w:rsidRPr="006420C1">
        <w:rPr>
          <w:szCs w:val="18"/>
        </w:rPr>
        <w:t xml:space="preserve">Daarbij is, zoals </w:t>
      </w:r>
      <w:r w:rsidR="00C41709" w:rsidRPr="006420C1">
        <w:rPr>
          <w:szCs w:val="18"/>
        </w:rPr>
        <w:t>ik in mijn brief van 29 april 2016</w:t>
      </w:r>
      <w:r w:rsidR="00C41709" w:rsidRPr="006420C1">
        <w:rPr>
          <w:rStyle w:val="Voetnootmarkering"/>
          <w:szCs w:val="18"/>
        </w:rPr>
        <w:footnoteReference w:id="2"/>
      </w:r>
      <w:r w:rsidR="00E211D9">
        <w:rPr>
          <w:szCs w:val="18"/>
        </w:rPr>
        <w:t xml:space="preserve"> heb </w:t>
      </w:r>
      <w:r w:rsidR="00D2395C">
        <w:rPr>
          <w:szCs w:val="18"/>
        </w:rPr>
        <w:t>gemeld</w:t>
      </w:r>
      <w:r w:rsidR="00E211D9">
        <w:rPr>
          <w:szCs w:val="18"/>
        </w:rPr>
        <w:t xml:space="preserve">, </w:t>
      </w:r>
      <w:r w:rsidR="00C41709" w:rsidRPr="006420C1">
        <w:rPr>
          <w:szCs w:val="18"/>
        </w:rPr>
        <w:t xml:space="preserve">de nulmeting </w:t>
      </w:r>
      <w:r w:rsidR="00EB5B02" w:rsidRPr="006420C1">
        <w:rPr>
          <w:szCs w:val="18"/>
        </w:rPr>
        <w:t xml:space="preserve">inmiddels </w:t>
      </w:r>
      <w:r w:rsidR="00C41709" w:rsidRPr="006420C1">
        <w:rPr>
          <w:szCs w:val="18"/>
        </w:rPr>
        <w:t>gecorrigeerd</w:t>
      </w:r>
      <w:r w:rsidR="00C41709" w:rsidRPr="006420C1">
        <w:rPr>
          <w:rStyle w:val="Voetnootmarkering"/>
          <w:szCs w:val="18"/>
        </w:rPr>
        <w:footnoteReference w:id="3"/>
      </w:r>
      <w:r w:rsidR="00B71AEA" w:rsidRPr="006420C1">
        <w:rPr>
          <w:szCs w:val="18"/>
        </w:rPr>
        <w:t xml:space="preserve"> </w:t>
      </w:r>
      <w:r w:rsidRPr="006420C1">
        <w:rPr>
          <w:szCs w:val="18"/>
        </w:rPr>
        <w:t>voor een aantal registratiefouten bij</w:t>
      </w:r>
      <w:r w:rsidR="00CF519B">
        <w:rPr>
          <w:szCs w:val="18"/>
        </w:rPr>
        <w:t xml:space="preserve"> banen via</w:t>
      </w:r>
      <w:r w:rsidRPr="006420C1">
        <w:rPr>
          <w:szCs w:val="18"/>
        </w:rPr>
        <w:t xml:space="preserve"> W</w:t>
      </w:r>
      <w:r w:rsidR="00B1663D" w:rsidRPr="006420C1">
        <w:rPr>
          <w:szCs w:val="18"/>
        </w:rPr>
        <w:t>sw</w:t>
      </w:r>
      <w:r w:rsidRPr="006420C1">
        <w:rPr>
          <w:szCs w:val="18"/>
        </w:rPr>
        <w:t xml:space="preserve">- detacheringen en </w:t>
      </w:r>
      <w:r w:rsidR="00B71AEA" w:rsidRPr="006420C1">
        <w:rPr>
          <w:szCs w:val="18"/>
        </w:rPr>
        <w:t>de Wiw/ID-banen</w:t>
      </w:r>
      <w:r w:rsidR="00C41709" w:rsidRPr="006420C1">
        <w:rPr>
          <w:szCs w:val="18"/>
        </w:rPr>
        <w:t xml:space="preserve">. </w:t>
      </w:r>
    </w:p>
    <w:p w:rsidR="00C41709" w:rsidRPr="006420C1" w:rsidRDefault="00C41709" w:rsidP="00DE7165">
      <w:pPr>
        <w:rPr>
          <w:szCs w:val="18"/>
        </w:rPr>
      </w:pPr>
    </w:p>
    <w:p w:rsidR="00AA3691" w:rsidRPr="006420C1" w:rsidRDefault="004A58CD" w:rsidP="0005240B">
      <w:pPr>
        <w:rPr>
          <w:b/>
          <w:i/>
          <w:szCs w:val="18"/>
        </w:rPr>
      </w:pPr>
      <w:r w:rsidRPr="006420C1">
        <w:rPr>
          <w:szCs w:val="18"/>
        </w:rPr>
        <w:t xml:space="preserve">Uit de </w:t>
      </w:r>
      <w:r w:rsidR="00154BF3" w:rsidRPr="006420C1">
        <w:rPr>
          <w:szCs w:val="18"/>
        </w:rPr>
        <w:t>één-meting</w:t>
      </w:r>
      <w:r w:rsidRPr="006420C1">
        <w:rPr>
          <w:szCs w:val="18"/>
        </w:rPr>
        <w:t xml:space="preserve"> </w:t>
      </w:r>
      <w:r w:rsidR="009B53C1" w:rsidRPr="006420C1">
        <w:rPr>
          <w:szCs w:val="18"/>
        </w:rPr>
        <w:t xml:space="preserve">blijkt </w:t>
      </w:r>
      <w:r w:rsidRPr="006420C1">
        <w:rPr>
          <w:szCs w:val="18"/>
        </w:rPr>
        <w:t>dat er eind 2015 2</w:t>
      </w:r>
      <w:r w:rsidR="003E0A00" w:rsidRPr="006420C1">
        <w:rPr>
          <w:szCs w:val="18"/>
        </w:rPr>
        <w:t>1</w:t>
      </w:r>
      <w:r w:rsidRPr="006420C1">
        <w:rPr>
          <w:szCs w:val="18"/>
        </w:rPr>
        <w:t>.0</w:t>
      </w:r>
      <w:r w:rsidR="003E0A00" w:rsidRPr="006420C1">
        <w:rPr>
          <w:szCs w:val="18"/>
        </w:rPr>
        <w:t>57</w:t>
      </w:r>
      <w:r w:rsidRPr="006420C1">
        <w:rPr>
          <w:szCs w:val="18"/>
        </w:rPr>
        <w:t xml:space="preserve"> banen </w:t>
      </w:r>
      <w:r w:rsidR="009B53C1" w:rsidRPr="006420C1">
        <w:rPr>
          <w:szCs w:val="18"/>
        </w:rPr>
        <w:t xml:space="preserve">bij reguliere werkgevers </w:t>
      </w:r>
      <w:r w:rsidRPr="006420C1">
        <w:rPr>
          <w:szCs w:val="18"/>
        </w:rPr>
        <w:t xml:space="preserve">voor mensen uit de doelgroep zijn </w:t>
      </w:r>
      <w:r w:rsidR="009B53C1" w:rsidRPr="006420C1">
        <w:rPr>
          <w:szCs w:val="18"/>
        </w:rPr>
        <w:t xml:space="preserve">gerealiseerd </w:t>
      </w:r>
      <w:r w:rsidRPr="006420C1">
        <w:rPr>
          <w:szCs w:val="18"/>
        </w:rPr>
        <w:t>ten opzichte van de</w:t>
      </w:r>
      <w:r w:rsidR="00110194">
        <w:rPr>
          <w:szCs w:val="18"/>
        </w:rPr>
        <w:t xml:space="preserve"> gecorrigeerde</w:t>
      </w:r>
      <w:r w:rsidRPr="006420C1">
        <w:rPr>
          <w:szCs w:val="18"/>
        </w:rPr>
        <w:t xml:space="preserve"> nulmeting</w:t>
      </w:r>
      <w:r w:rsidR="00B1663D" w:rsidRPr="006420C1">
        <w:rPr>
          <w:szCs w:val="18"/>
        </w:rPr>
        <w:t>.</w:t>
      </w:r>
      <w:r w:rsidR="003F0CF2" w:rsidRPr="006420C1">
        <w:rPr>
          <w:szCs w:val="18"/>
        </w:rPr>
        <w:t xml:space="preserve"> </w:t>
      </w:r>
      <w:r w:rsidR="007D5F8A">
        <w:rPr>
          <w:szCs w:val="18"/>
        </w:rPr>
        <w:t>Van deze</w:t>
      </w:r>
      <w:r w:rsidR="00F047FA" w:rsidRPr="00F047FA">
        <w:rPr>
          <w:szCs w:val="18"/>
        </w:rPr>
        <w:t xml:space="preserve"> banen zijn er 9.011 ingevuld door mensen uit de doelgroep Wajong (ruim 40 procent van het totaal). Voor de doelgroep Participatiewet zijn 3.489 banen gecreëerd (circa 16 procent van het totaal). De doelgroep Participatiewet bestaat uit een aantal cat</w:t>
      </w:r>
      <w:r w:rsidR="007D5F8A">
        <w:rPr>
          <w:szCs w:val="18"/>
        </w:rPr>
        <w:t xml:space="preserve">egorieën. Het gaat om de </w:t>
      </w:r>
      <w:r w:rsidR="00F047FA" w:rsidRPr="00F047FA">
        <w:rPr>
          <w:szCs w:val="18"/>
        </w:rPr>
        <w:t>instroom van mensen met een positieve indicatie banenafspraak, schoolverlaters van het voortgezet speciaal onderwijs, praktijkonderwijs en mbo-entree opleidingen, mensen die zijn afgewezen voor de Wajong 2015 en de mensen die op 31 december 2014 op de Wsw-wachtlijst stonden.</w:t>
      </w:r>
      <w:r w:rsidR="00F047FA" w:rsidRPr="006420C1">
        <w:rPr>
          <w:szCs w:val="18"/>
        </w:rPr>
        <w:t xml:space="preserve"> </w:t>
      </w:r>
    </w:p>
    <w:p w:rsidR="008E6169" w:rsidRDefault="008E6169" w:rsidP="0005240B">
      <w:pPr>
        <w:rPr>
          <w:b/>
          <w:i/>
          <w:szCs w:val="18"/>
        </w:rPr>
      </w:pPr>
    </w:p>
    <w:p w:rsidR="0005240B" w:rsidRPr="006420C1" w:rsidRDefault="0005240B" w:rsidP="0005240B">
      <w:pPr>
        <w:rPr>
          <w:b/>
          <w:szCs w:val="18"/>
        </w:rPr>
      </w:pPr>
      <w:r w:rsidRPr="006420C1">
        <w:rPr>
          <w:b/>
          <w:i/>
          <w:szCs w:val="18"/>
        </w:rPr>
        <w:t>Verdeling banen sector markt en sector overheid</w:t>
      </w:r>
    </w:p>
    <w:p w:rsidR="0005240B" w:rsidRPr="006420C1" w:rsidRDefault="0005240B" w:rsidP="0005240B">
      <w:pPr>
        <w:pStyle w:val="Default"/>
        <w:spacing w:line="240" w:lineRule="atLeast"/>
        <w:rPr>
          <w:sz w:val="18"/>
          <w:szCs w:val="18"/>
        </w:rPr>
      </w:pPr>
      <w:r w:rsidRPr="006420C1">
        <w:rPr>
          <w:sz w:val="18"/>
          <w:szCs w:val="18"/>
        </w:rPr>
        <w:t>De cijfers naar sector (markt of overheid) geven aan dat er in totaal 15.604 banen bij reguliere werkgevers in de sector markt en 5.453 in de sector overheid zijn gecreëerd. Deze banen bestaan uit formele dienstverbanden en uit inleenverbanden</w:t>
      </w:r>
      <w:r w:rsidR="00D2395C">
        <w:rPr>
          <w:sz w:val="18"/>
          <w:szCs w:val="18"/>
        </w:rPr>
        <w:t xml:space="preserve">. Onder inleenverbanden </w:t>
      </w:r>
      <w:r w:rsidR="004952CF">
        <w:rPr>
          <w:sz w:val="18"/>
          <w:szCs w:val="18"/>
        </w:rPr>
        <w:t xml:space="preserve">zijn zowel de </w:t>
      </w:r>
      <w:r w:rsidR="00D2395C">
        <w:rPr>
          <w:sz w:val="18"/>
          <w:szCs w:val="18"/>
        </w:rPr>
        <w:t>uitzend</w:t>
      </w:r>
      <w:r w:rsidR="004952CF">
        <w:rPr>
          <w:sz w:val="18"/>
          <w:szCs w:val="18"/>
        </w:rPr>
        <w:t>relaties als de</w:t>
      </w:r>
      <w:r w:rsidR="00D2395C">
        <w:rPr>
          <w:sz w:val="18"/>
          <w:szCs w:val="18"/>
        </w:rPr>
        <w:t xml:space="preserve"> Wsw-detacheringen</w:t>
      </w:r>
      <w:r w:rsidR="004952CF">
        <w:rPr>
          <w:sz w:val="18"/>
          <w:szCs w:val="18"/>
        </w:rPr>
        <w:t xml:space="preserve"> gevat</w:t>
      </w:r>
      <w:r w:rsidRPr="006420C1">
        <w:rPr>
          <w:sz w:val="18"/>
          <w:szCs w:val="18"/>
        </w:rPr>
        <w:t xml:space="preserve">. Het onderscheid per sector is weergeven in tabel </w:t>
      </w:r>
      <w:r w:rsidR="001F1EBA" w:rsidRPr="006420C1">
        <w:rPr>
          <w:sz w:val="18"/>
          <w:szCs w:val="18"/>
        </w:rPr>
        <w:t>1</w:t>
      </w:r>
      <w:r w:rsidRPr="006420C1">
        <w:rPr>
          <w:sz w:val="18"/>
          <w:szCs w:val="18"/>
        </w:rPr>
        <w:t xml:space="preserve">. </w:t>
      </w:r>
    </w:p>
    <w:p w:rsidR="0005240B" w:rsidRPr="006420C1" w:rsidRDefault="0005240B" w:rsidP="0005240B">
      <w:pPr>
        <w:pStyle w:val="Default"/>
        <w:spacing w:line="240" w:lineRule="atLeast"/>
        <w:rPr>
          <w:sz w:val="18"/>
          <w:szCs w:val="18"/>
        </w:rPr>
      </w:pPr>
    </w:p>
    <w:p w:rsidR="0005240B" w:rsidRPr="006420C1" w:rsidRDefault="0005240B" w:rsidP="0005240B">
      <w:pPr>
        <w:rPr>
          <w:i/>
          <w:szCs w:val="18"/>
        </w:rPr>
      </w:pPr>
      <w:r w:rsidRPr="006420C1">
        <w:rPr>
          <w:i/>
          <w:szCs w:val="18"/>
        </w:rPr>
        <w:t xml:space="preserve">Tabel 1: Resultaten eerste meting </w:t>
      </w:r>
      <w:r w:rsidR="00821CC0">
        <w:rPr>
          <w:i/>
          <w:szCs w:val="18"/>
        </w:rPr>
        <w:t>eind</w:t>
      </w:r>
      <w:r w:rsidRPr="006420C1">
        <w:rPr>
          <w:i/>
          <w:szCs w:val="18"/>
        </w:rPr>
        <w:t xml:space="preserve"> 2015 ten opzichte van de nulmeting</w:t>
      </w:r>
    </w:p>
    <w:p w:rsidR="0005240B" w:rsidRPr="006420C1" w:rsidRDefault="0005240B" w:rsidP="0005240B">
      <w:pPr>
        <w:pStyle w:val="Default"/>
        <w:spacing w:line="240" w:lineRule="atLeast"/>
        <w:rPr>
          <w:sz w:val="18"/>
          <w:szCs w:val="18"/>
        </w:rPr>
      </w:pP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0"/>
        <w:gridCol w:w="1418"/>
        <w:gridCol w:w="1419"/>
        <w:gridCol w:w="1418"/>
      </w:tblGrid>
      <w:tr w:rsidR="0005240B" w:rsidRPr="006420C1" w:rsidTr="0005240B">
        <w:tc>
          <w:tcPr>
            <w:tcW w:w="3227" w:type="dxa"/>
            <w:tcBorders>
              <w:top w:val="single" w:sz="4" w:space="0" w:color="auto"/>
              <w:left w:val="single" w:sz="4" w:space="0" w:color="auto"/>
              <w:bottom w:val="single" w:sz="4" w:space="0" w:color="auto"/>
              <w:right w:val="single" w:sz="4" w:space="0" w:color="auto"/>
            </w:tcBorders>
          </w:tcPr>
          <w:p w:rsidR="0005240B" w:rsidRPr="006420C1" w:rsidRDefault="0005240B" w:rsidP="0005240B">
            <w:pPr>
              <w:pStyle w:val="Default"/>
              <w:spacing w:line="240" w:lineRule="atLeast"/>
              <w:rPr>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05240B" w:rsidRPr="006420C1" w:rsidRDefault="0005240B" w:rsidP="0005240B">
            <w:pPr>
              <w:pStyle w:val="Default"/>
              <w:spacing w:line="240" w:lineRule="atLeast"/>
              <w:rPr>
                <w:sz w:val="16"/>
                <w:szCs w:val="16"/>
              </w:rPr>
            </w:pPr>
            <w:r w:rsidRPr="006420C1">
              <w:rPr>
                <w:sz w:val="16"/>
                <w:szCs w:val="16"/>
              </w:rPr>
              <w:t xml:space="preserve">Toename aantal banen markt </w:t>
            </w:r>
          </w:p>
        </w:tc>
        <w:tc>
          <w:tcPr>
            <w:tcW w:w="1418" w:type="dxa"/>
            <w:tcBorders>
              <w:top w:val="single" w:sz="4" w:space="0" w:color="auto"/>
              <w:left w:val="single" w:sz="4" w:space="0" w:color="auto"/>
              <w:bottom w:val="single" w:sz="4" w:space="0" w:color="auto"/>
              <w:right w:val="single" w:sz="4" w:space="0" w:color="auto"/>
            </w:tcBorders>
            <w:hideMark/>
          </w:tcPr>
          <w:p w:rsidR="0005240B" w:rsidRPr="006420C1" w:rsidRDefault="0005240B" w:rsidP="0005240B">
            <w:pPr>
              <w:pStyle w:val="Default"/>
              <w:spacing w:line="240" w:lineRule="atLeast"/>
              <w:rPr>
                <w:sz w:val="16"/>
                <w:szCs w:val="16"/>
              </w:rPr>
            </w:pPr>
            <w:r w:rsidRPr="006420C1">
              <w:rPr>
                <w:sz w:val="16"/>
                <w:szCs w:val="16"/>
              </w:rPr>
              <w:t xml:space="preserve">Toename aantal banen overheid </w:t>
            </w:r>
          </w:p>
        </w:tc>
        <w:tc>
          <w:tcPr>
            <w:tcW w:w="1417" w:type="dxa"/>
            <w:tcBorders>
              <w:top w:val="single" w:sz="4" w:space="0" w:color="auto"/>
              <w:left w:val="single" w:sz="4" w:space="0" w:color="auto"/>
              <w:bottom w:val="single" w:sz="4" w:space="0" w:color="auto"/>
              <w:right w:val="single" w:sz="4" w:space="0" w:color="auto"/>
            </w:tcBorders>
            <w:hideMark/>
          </w:tcPr>
          <w:p w:rsidR="0005240B" w:rsidRPr="006420C1" w:rsidRDefault="0005240B" w:rsidP="0005240B">
            <w:pPr>
              <w:pStyle w:val="Default"/>
              <w:spacing w:line="240" w:lineRule="atLeast"/>
              <w:rPr>
                <w:sz w:val="16"/>
                <w:szCs w:val="16"/>
              </w:rPr>
            </w:pPr>
            <w:r w:rsidRPr="006420C1">
              <w:rPr>
                <w:sz w:val="16"/>
                <w:szCs w:val="16"/>
              </w:rPr>
              <w:t>Totale toename aantal banen</w:t>
            </w:r>
          </w:p>
        </w:tc>
      </w:tr>
      <w:tr w:rsidR="0005240B" w:rsidRPr="006420C1" w:rsidTr="0005240B">
        <w:tc>
          <w:tcPr>
            <w:tcW w:w="3227" w:type="dxa"/>
            <w:tcBorders>
              <w:top w:val="single" w:sz="4" w:space="0" w:color="auto"/>
              <w:left w:val="single" w:sz="4" w:space="0" w:color="auto"/>
              <w:bottom w:val="single" w:sz="4" w:space="0" w:color="auto"/>
              <w:right w:val="single" w:sz="4" w:space="0" w:color="auto"/>
            </w:tcBorders>
            <w:hideMark/>
          </w:tcPr>
          <w:p w:rsidR="0005240B" w:rsidRPr="006420C1" w:rsidRDefault="00990917" w:rsidP="0005240B">
            <w:pPr>
              <w:pStyle w:val="Default"/>
              <w:spacing w:line="240" w:lineRule="atLeast"/>
              <w:rPr>
                <w:sz w:val="16"/>
                <w:szCs w:val="16"/>
              </w:rPr>
            </w:pPr>
            <w:r w:rsidRPr="006420C1">
              <w:rPr>
                <w:sz w:val="16"/>
                <w:szCs w:val="16"/>
              </w:rPr>
              <w:t xml:space="preserve">Formele </w:t>
            </w:r>
            <w:r w:rsidR="0005240B" w:rsidRPr="006420C1">
              <w:rPr>
                <w:sz w:val="16"/>
                <w:szCs w:val="16"/>
              </w:rPr>
              <w:t>dienstverbanden</w:t>
            </w:r>
          </w:p>
        </w:tc>
        <w:tc>
          <w:tcPr>
            <w:tcW w:w="1417" w:type="dxa"/>
            <w:tcBorders>
              <w:top w:val="single" w:sz="4" w:space="0" w:color="auto"/>
              <w:left w:val="single" w:sz="4" w:space="0" w:color="auto"/>
              <w:bottom w:val="single" w:sz="4" w:space="0" w:color="auto"/>
              <w:right w:val="single" w:sz="4" w:space="0" w:color="auto"/>
            </w:tcBorders>
            <w:hideMark/>
          </w:tcPr>
          <w:p w:rsidR="0005240B" w:rsidRPr="006420C1" w:rsidRDefault="0005240B" w:rsidP="0005240B">
            <w:pPr>
              <w:pStyle w:val="Default"/>
              <w:spacing w:line="240" w:lineRule="atLeast"/>
              <w:rPr>
                <w:sz w:val="16"/>
                <w:szCs w:val="16"/>
              </w:rPr>
            </w:pPr>
            <w:r w:rsidRPr="006420C1">
              <w:rPr>
                <w:sz w:val="16"/>
                <w:szCs w:val="16"/>
              </w:rPr>
              <w:t>9.764</w:t>
            </w:r>
          </w:p>
        </w:tc>
        <w:tc>
          <w:tcPr>
            <w:tcW w:w="1418" w:type="dxa"/>
            <w:tcBorders>
              <w:top w:val="single" w:sz="4" w:space="0" w:color="auto"/>
              <w:left w:val="single" w:sz="4" w:space="0" w:color="auto"/>
              <w:bottom w:val="single" w:sz="4" w:space="0" w:color="auto"/>
              <w:right w:val="single" w:sz="4" w:space="0" w:color="auto"/>
            </w:tcBorders>
            <w:hideMark/>
          </w:tcPr>
          <w:p w:rsidR="0005240B" w:rsidRPr="006420C1" w:rsidRDefault="0005240B" w:rsidP="0005240B">
            <w:pPr>
              <w:pStyle w:val="Default"/>
              <w:spacing w:line="240" w:lineRule="atLeast"/>
              <w:rPr>
                <w:sz w:val="16"/>
                <w:szCs w:val="16"/>
              </w:rPr>
            </w:pPr>
            <w:r w:rsidRPr="006420C1">
              <w:rPr>
                <w:sz w:val="16"/>
                <w:szCs w:val="16"/>
              </w:rPr>
              <w:t>- 984</w:t>
            </w:r>
          </w:p>
        </w:tc>
        <w:tc>
          <w:tcPr>
            <w:tcW w:w="1417" w:type="dxa"/>
            <w:tcBorders>
              <w:top w:val="single" w:sz="4" w:space="0" w:color="auto"/>
              <w:left w:val="single" w:sz="4" w:space="0" w:color="auto"/>
              <w:bottom w:val="single" w:sz="4" w:space="0" w:color="auto"/>
              <w:right w:val="single" w:sz="4" w:space="0" w:color="auto"/>
            </w:tcBorders>
            <w:hideMark/>
          </w:tcPr>
          <w:p w:rsidR="0005240B" w:rsidRPr="006420C1" w:rsidRDefault="0005240B" w:rsidP="0005240B">
            <w:pPr>
              <w:pStyle w:val="Default"/>
              <w:spacing w:line="240" w:lineRule="atLeast"/>
              <w:rPr>
                <w:sz w:val="16"/>
                <w:szCs w:val="16"/>
              </w:rPr>
            </w:pPr>
            <w:r w:rsidRPr="006420C1">
              <w:rPr>
                <w:sz w:val="16"/>
                <w:szCs w:val="16"/>
              </w:rPr>
              <w:t>8.780</w:t>
            </w:r>
          </w:p>
        </w:tc>
      </w:tr>
      <w:tr w:rsidR="0005240B" w:rsidRPr="006420C1" w:rsidTr="0005240B">
        <w:tc>
          <w:tcPr>
            <w:tcW w:w="3227" w:type="dxa"/>
            <w:tcBorders>
              <w:top w:val="single" w:sz="4" w:space="0" w:color="auto"/>
              <w:left w:val="single" w:sz="4" w:space="0" w:color="auto"/>
              <w:bottom w:val="single" w:sz="4" w:space="0" w:color="auto"/>
              <w:right w:val="single" w:sz="4" w:space="0" w:color="auto"/>
            </w:tcBorders>
            <w:hideMark/>
          </w:tcPr>
          <w:p w:rsidR="0005240B" w:rsidRPr="006420C1" w:rsidRDefault="0005240B" w:rsidP="004952CF">
            <w:pPr>
              <w:pStyle w:val="Default"/>
              <w:spacing w:line="240" w:lineRule="atLeast"/>
              <w:rPr>
                <w:sz w:val="16"/>
                <w:szCs w:val="16"/>
              </w:rPr>
            </w:pPr>
            <w:r w:rsidRPr="006420C1">
              <w:rPr>
                <w:sz w:val="16"/>
                <w:szCs w:val="16"/>
              </w:rPr>
              <w:t>Inleenverbanden</w:t>
            </w:r>
            <w:r w:rsidR="00D2395C">
              <w:rPr>
                <w:sz w:val="16"/>
                <w:szCs w:val="16"/>
              </w:rPr>
              <w:t xml:space="preserve"> (uitzend</w:t>
            </w:r>
            <w:r w:rsidR="004952CF">
              <w:rPr>
                <w:sz w:val="16"/>
                <w:szCs w:val="16"/>
              </w:rPr>
              <w:t>relaties en Wsw-detacheringen)</w:t>
            </w:r>
            <w:r w:rsidR="00D2395C">
              <w:rPr>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05240B" w:rsidRPr="006420C1" w:rsidRDefault="0005240B" w:rsidP="0005240B">
            <w:pPr>
              <w:pStyle w:val="Default"/>
              <w:spacing w:line="240" w:lineRule="atLeast"/>
              <w:rPr>
                <w:sz w:val="16"/>
                <w:szCs w:val="16"/>
              </w:rPr>
            </w:pPr>
            <w:r w:rsidRPr="006420C1">
              <w:rPr>
                <w:sz w:val="16"/>
                <w:szCs w:val="16"/>
              </w:rPr>
              <w:t>5.840</w:t>
            </w:r>
          </w:p>
        </w:tc>
        <w:tc>
          <w:tcPr>
            <w:tcW w:w="1418" w:type="dxa"/>
            <w:tcBorders>
              <w:top w:val="single" w:sz="4" w:space="0" w:color="auto"/>
              <w:left w:val="single" w:sz="4" w:space="0" w:color="auto"/>
              <w:bottom w:val="single" w:sz="4" w:space="0" w:color="auto"/>
              <w:right w:val="single" w:sz="4" w:space="0" w:color="auto"/>
            </w:tcBorders>
            <w:hideMark/>
          </w:tcPr>
          <w:p w:rsidR="0005240B" w:rsidRPr="006420C1" w:rsidRDefault="0005240B" w:rsidP="0005240B">
            <w:pPr>
              <w:pStyle w:val="Default"/>
              <w:spacing w:line="240" w:lineRule="atLeast"/>
              <w:rPr>
                <w:sz w:val="16"/>
                <w:szCs w:val="16"/>
              </w:rPr>
            </w:pPr>
            <w:r w:rsidRPr="006420C1">
              <w:rPr>
                <w:sz w:val="16"/>
                <w:szCs w:val="16"/>
              </w:rPr>
              <w:t>6.437</w:t>
            </w:r>
          </w:p>
        </w:tc>
        <w:tc>
          <w:tcPr>
            <w:tcW w:w="1417" w:type="dxa"/>
            <w:tcBorders>
              <w:top w:val="single" w:sz="4" w:space="0" w:color="auto"/>
              <w:left w:val="single" w:sz="4" w:space="0" w:color="auto"/>
              <w:bottom w:val="single" w:sz="4" w:space="0" w:color="auto"/>
              <w:right w:val="single" w:sz="4" w:space="0" w:color="auto"/>
            </w:tcBorders>
            <w:hideMark/>
          </w:tcPr>
          <w:p w:rsidR="0005240B" w:rsidRPr="006420C1" w:rsidRDefault="0005240B" w:rsidP="0005240B">
            <w:pPr>
              <w:pStyle w:val="Default"/>
              <w:spacing w:line="240" w:lineRule="atLeast"/>
              <w:rPr>
                <w:sz w:val="16"/>
                <w:szCs w:val="16"/>
              </w:rPr>
            </w:pPr>
            <w:r w:rsidRPr="006420C1">
              <w:rPr>
                <w:sz w:val="16"/>
                <w:szCs w:val="16"/>
              </w:rPr>
              <w:t>12.277</w:t>
            </w:r>
          </w:p>
        </w:tc>
      </w:tr>
      <w:tr w:rsidR="0005240B" w:rsidRPr="006420C1" w:rsidTr="0005240B">
        <w:tc>
          <w:tcPr>
            <w:tcW w:w="3227" w:type="dxa"/>
            <w:tcBorders>
              <w:top w:val="single" w:sz="4" w:space="0" w:color="auto"/>
              <w:left w:val="single" w:sz="4" w:space="0" w:color="auto"/>
              <w:bottom w:val="single" w:sz="4" w:space="0" w:color="auto"/>
              <w:right w:val="single" w:sz="4" w:space="0" w:color="auto"/>
            </w:tcBorders>
            <w:hideMark/>
          </w:tcPr>
          <w:p w:rsidR="0005240B" w:rsidRDefault="0005240B" w:rsidP="0005240B">
            <w:pPr>
              <w:pStyle w:val="Default"/>
              <w:spacing w:line="240" w:lineRule="atLeast"/>
              <w:rPr>
                <w:sz w:val="16"/>
                <w:szCs w:val="16"/>
              </w:rPr>
            </w:pPr>
            <w:r w:rsidRPr="006420C1">
              <w:rPr>
                <w:sz w:val="16"/>
                <w:szCs w:val="16"/>
              </w:rPr>
              <w:t>Totaal</w:t>
            </w:r>
          </w:p>
          <w:p w:rsidR="00D16CE1" w:rsidRPr="006420C1" w:rsidRDefault="00D16CE1" w:rsidP="0005240B">
            <w:pPr>
              <w:pStyle w:val="Default"/>
              <w:spacing w:line="240" w:lineRule="atLeast"/>
              <w:rPr>
                <w:sz w:val="16"/>
                <w:szCs w:val="16"/>
              </w:rPr>
            </w:pPr>
            <w:r>
              <w:rPr>
                <w:sz w:val="16"/>
                <w:szCs w:val="16"/>
              </w:rPr>
              <w:t>Doelstelling Sociaal Akkoord</w:t>
            </w:r>
          </w:p>
        </w:tc>
        <w:tc>
          <w:tcPr>
            <w:tcW w:w="1417" w:type="dxa"/>
            <w:tcBorders>
              <w:top w:val="single" w:sz="4" w:space="0" w:color="auto"/>
              <w:left w:val="single" w:sz="4" w:space="0" w:color="auto"/>
              <w:bottom w:val="single" w:sz="4" w:space="0" w:color="auto"/>
              <w:right w:val="single" w:sz="4" w:space="0" w:color="auto"/>
            </w:tcBorders>
            <w:hideMark/>
          </w:tcPr>
          <w:p w:rsidR="0005240B" w:rsidRPr="006420C1" w:rsidRDefault="0005240B" w:rsidP="0005240B">
            <w:pPr>
              <w:pStyle w:val="Default"/>
              <w:spacing w:line="240" w:lineRule="atLeast"/>
              <w:rPr>
                <w:sz w:val="16"/>
                <w:szCs w:val="16"/>
              </w:rPr>
            </w:pPr>
            <w:r w:rsidRPr="006420C1">
              <w:rPr>
                <w:sz w:val="16"/>
                <w:szCs w:val="16"/>
              </w:rPr>
              <w:t>15.604</w:t>
            </w:r>
            <w:r w:rsidR="00D16CE1">
              <w:rPr>
                <w:sz w:val="16"/>
                <w:szCs w:val="16"/>
              </w:rPr>
              <w:t xml:space="preserve"> (6.000)</w:t>
            </w:r>
          </w:p>
        </w:tc>
        <w:tc>
          <w:tcPr>
            <w:tcW w:w="1418" w:type="dxa"/>
            <w:tcBorders>
              <w:top w:val="single" w:sz="4" w:space="0" w:color="auto"/>
              <w:left w:val="single" w:sz="4" w:space="0" w:color="auto"/>
              <w:bottom w:val="single" w:sz="4" w:space="0" w:color="auto"/>
              <w:right w:val="single" w:sz="4" w:space="0" w:color="auto"/>
            </w:tcBorders>
            <w:hideMark/>
          </w:tcPr>
          <w:p w:rsidR="0005240B" w:rsidRDefault="0005240B" w:rsidP="0005240B">
            <w:pPr>
              <w:pStyle w:val="Default"/>
              <w:spacing w:line="240" w:lineRule="atLeast"/>
              <w:rPr>
                <w:sz w:val="16"/>
                <w:szCs w:val="16"/>
              </w:rPr>
            </w:pPr>
            <w:r w:rsidRPr="006420C1">
              <w:rPr>
                <w:sz w:val="16"/>
                <w:szCs w:val="16"/>
              </w:rPr>
              <w:t>5.453</w:t>
            </w:r>
          </w:p>
          <w:p w:rsidR="00D16CE1" w:rsidRPr="006420C1" w:rsidRDefault="00D16CE1" w:rsidP="0005240B">
            <w:pPr>
              <w:pStyle w:val="Default"/>
              <w:spacing w:line="240" w:lineRule="atLeast"/>
              <w:rPr>
                <w:sz w:val="16"/>
                <w:szCs w:val="16"/>
              </w:rPr>
            </w:pPr>
            <w:r>
              <w:rPr>
                <w:sz w:val="16"/>
                <w:szCs w:val="16"/>
              </w:rPr>
              <w:t>(3.000)</w:t>
            </w:r>
          </w:p>
        </w:tc>
        <w:tc>
          <w:tcPr>
            <w:tcW w:w="1417" w:type="dxa"/>
            <w:tcBorders>
              <w:top w:val="single" w:sz="4" w:space="0" w:color="auto"/>
              <w:left w:val="single" w:sz="4" w:space="0" w:color="auto"/>
              <w:bottom w:val="single" w:sz="4" w:space="0" w:color="auto"/>
              <w:right w:val="single" w:sz="4" w:space="0" w:color="auto"/>
            </w:tcBorders>
            <w:hideMark/>
          </w:tcPr>
          <w:p w:rsidR="0005240B" w:rsidRDefault="0005240B" w:rsidP="0005240B">
            <w:pPr>
              <w:pStyle w:val="Default"/>
              <w:spacing w:line="240" w:lineRule="atLeast"/>
              <w:rPr>
                <w:sz w:val="16"/>
                <w:szCs w:val="16"/>
              </w:rPr>
            </w:pPr>
            <w:r w:rsidRPr="006420C1">
              <w:rPr>
                <w:sz w:val="16"/>
                <w:szCs w:val="16"/>
              </w:rPr>
              <w:t>21.057</w:t>
            </w:r>
          </w:p>
          <w:p w:rsidR="00D16CE1" w:rsidRPr="006420C1" w:rsidRDefault="00D16CE1" w:rsidP="0005240B">
            <w:pPr>
              <w:pStyle w:val="Default"/>
              <w:spacing w:line="240" w:lineRule="atLeast"/>
              <w:rPr>
                <w:sz w:val="16"/>
                <w:szCs w:val="16"/>
              </w:rPr>
            </w:pPr>
            <w:r>
              <w:rPr>
                <w:sz w:val="16"/>
                <w:szCs w:val="16"/>
              </w:rPr>
              <w:t>(9.000)</w:t>
            </w:r>
          </w:p>
        </w:tc>
      </w:tr>
    </w:tbl>
    <w:p w:rsidR="0005240B" w:rsidRPr="006420C1" w:rsidRDefault="0005240B" w:rsidP="0005240B">
      <w:pPr>
        <w:pStyle w:val="Default"/>
        <w:spacing w:line="240" w:lineRule="atLeast"/>
        <w:rPr>
          <w:sz w:val="18"/>
          <w:szCs w:val="18"/>
        </w:rPr>
      </w:pPr>
    </w:p>
    <w:p w:rsidR="006A083D" w:rsidRPr="006420C1" w:rsidRDefault="00911671" w:rsidP="006A083D">
      <w:pPr>
        <w:rPr>
          <w:szCs w:val="18"/>
        </w:rPr>
      </w:pPr>
      <w:r w:rsidRPr="006420C1">
        <w:rPr>
          <w:szCs w:val="18"/>
        </w:rPr>
        <w:t>Van de 8.780 banen bij reguliere werkgevers in formele dienstverbanden, zijn 9.764 banen tot stand gekomen in de sector markt. In de sector overheid</w:t>
      </w:r>
      <w:r w:rsidR="0005240B" w:rsidRPr="006420C1">
        <w:rPr>
          <w:szCs w:val="18"/>
        </w:rPr>
        <w:t xml:space="preserve"> is het aantal formele dienstverbanden teruggelopen met 984. </w:t>
      </w:r>
      <w:r w:rsidR="008F2BF2" w:rsidRPr="006420C1">
        <w:rPr>
          <w:szCs w:val="18"/>
        </w:rPr>
        <w:t xml:space="preserve">Deze teruggang </w:t>
      </w:r>
      <w:r w:rsidR="006A083D" w:rsidRPr="006420C1">
        <w:rPr>
          <w:szCs w:val="18"/>
        </w:rPr>
        <w:t xml:space="preserve">van minus 984 (zie tabel 1), </w:t>
      </w:r>
      <w:r w:rsidR="008F2BF2" w:rsidRPr="006420C1">
        <w:rPr>
          <w:szCs w:val="18"/>
        </w:rPr>
        <w:t>is de resultante van een afname</w:t>
      </w:r>
      <w:r w:rsidR="006A083D" w:rsidRPr="006420C1">
        <w:rPr>
          <w:szCs w:val="18"/>
        </w:rPr>
        <w:t xml:space="preserve"> van de banen van de groep Wiw/ID-ers met 1.593. </w:t>
      </w:r>
      <w:r w:rsidR="00906E05" w:rsidRPr="006420C1">
        <w:rPr>
          <w:szCs w:val="18"/>
        </w:rPr>
        <w:t>Deze afname is een logische ontwikkeling omdat Wiw/</w:t>
      </w:r>
      <w:r w:rsidR="006A083D" w:rsidRPr="006420C1">
        <w:rPr>
          <w:szCs w:val="18"/>
        </w:rPr>
        <w:t xml:space="preserve">ID </w:t>
      </w:r>
      <w:r w:rsidR="00906E05" w:rsidRPr="006420C1">
        <w:rPr>
          <w:szCs w:val="18"/>
        </w:rPr>
        <w:t>al per 1 januari 2004 is op</w:t>
      </w:r>
      <w:r w:rsidR="0044266A" w:rsidRPr="006420C1">
        <w:rPr>
          <w:szCs w:val="18"/>
        </w:rPr>
        <w:t>geheven, waardo</w:t>
      </w:r>
      <w:r w:rsidR="00906E05" w:rsidRPr="006420C1">
        <w:rPr>
          <w:szCs w:val="18"/>
        </w:rPr>
        <w:t>or er geen Wiw/</w:t>
      </w:r>
      <w:r w:rsidR="0044266A" w:rsidRPr="006420C1">
        <w:rPr>
          <w:szCs w:val="18"/>
        </w:rPr>
        <w:t>ID-banen meer bijkomen</w:t>
      </w:r>
      <w:r w:rsidR="00906E05" w:rsidRPr="006420C1">
        <w:rPr>
          <w:szCs w:val="18"/>
        </w:rPr>
        <w:t xml:space="preserve">. </w:t>
      </w:r>
      <w:r w:rsidR="00CF519B">
        <w:rPr>
          <w:szCs w:val="18"/>
        </w:rPr>
        <w:t xml:space="preserve">Deze banen zijn echter wel allemaal opgenomen in de nulmeting. </w:t>
      </w:r>
      <w:r w:rsidR="006A083D" w:rsidRPr="006420C1">
        <w:rPr>
          <w:szCs w:val="18"/>
        </w:rPr>
        <w:t>Aangezien het een aflopende regeling is zonder mogelijkheid van nieuwe instroom, betekent dit dat</w:t>
      </w:r>
      <w:r w:rsidR="00CF519B">
        <w:rPr>
          <w:szCs w:val="18"/>
        </w:rPr>
        <w:t xml:space="preserve"> er automatisch terugloop is in het aantal banen van</w:t>
      </w:r>
      <w:r w:rsidR="006A083D" w:rsidRPr="006420C1">
        <w:rPr>
          <w:szCs w:val="18"/>
        </w:rPr>
        <w:t xml:space="preserve"> deze groep</w:t>
      </w:r>
      <w:r w:rsidR="00906E05" w:rsidRPr="006420C1">
        <w:rPr>
          <w:szCs w:val="18"/>
        </w:rPr>
        <w:t>.</w:t>
      </w:r>
      <w:r w:rsidR="006A083D" w:rsidRPr="006420C1">
        <w:rPr>
          <w:szCs w:val="18"/>
        </w:rPr>
        <w:t xml:space="preserve"> Dit wordt </w:t>
      </w:r>
      <w:r w:rsidR="004952CF">
        <w:rPr>
          <w:szCs w:val="18"/>
        </w:rPr>
        <w:t xml:space="preserve">vooral </w:t>
      </w:r>
      <w:r w:rsidR="006A083D" w:rsidRPr="006420C1">
        <w:rPr>
          <w:szCs w:val="18"/>
        </w:rPr>
        <w:t>ver</w:t>
      </w:r>
      <w:r w:rsidR="00CF519B">
        <w:rPr>
          <w:szCs w:val="18"/>
        </w:rPr>
        <w:t>oorzaakt</w:t>
      </w:r>
      <w:r w:rsidR="006A083D" w:rsidRPr="006420C1">
        <w:rPr>
          <w:szCs w:val="18"/>
        </w:rPr>
        <w:t xml:space="preserve"> door het natuurlijk verloop binnen de groep (overlijden, pensionering enzovoorts).</w:t>
      </w:r>
    </w:p>
    <w:p w:rsidR="008F2BF2" w:rsidRPr="006420C1" w:rsidRDefault="008F2BF2" w:rsidP="00910B92">
      <w:pPr>
        <w:pStyle w:val="Default"/>
        <w:spacing w:line="240" w:lineRule="atLeast"/>
        <w:rPr>
          <w:sz w:val="18"/>
          <w:szCs w:val="18"/>
        </w:rPr>
      </w:pPr>
    </w:p>
    <w:p w:rsidR="009172C1" w:rsidRPr="006420C1" w:rsidRDefault="00906E05" w:rsidP="00910B92">
      <w:pPr>
        <w:pStyle w:val="Default"/>
        <w:spacing w:line="240" w:lineRule="atLeast"/>
        <w:rPr>
          <w:sz w:val="18"/>
          <w:szCs w:val="18"/>
        </w:rPr>
      </w:pPr>
      <w:r w:rsidRPr="006420C1">
        <w:rPr>
          <w:sz w:val="18"/>
          <w:szCs w:val="18"/>
        </w:rPr>
        <w:t>Inleenverbanden zijn een vaak gebruikt en succesvol middel zijn om mensen met een arbeidsbeperking werk te bieden. Daarom hechten de Tweede Kamer, sociale partners, de uitzendbranche, sociale werkbedrijven en het kabinet er veel waarde aan om mensen uit de doelgroep van de banenafspraak die werkzaam zijn als uitzendkracht of gedetacheerd vanuit de sociale werkvoorziening mee te tellen bij de sector waar zij daadwerkelijk aan het werk zijn.</w:t>
      </w:r>
      <w:r w:rsidRPr="006420C1">
        <w:rPr>
          <w:color w:val="211D1F"/>
          <w:szCs w:val="18"/>
        </w:rPr>
        <w:t xml:space="preserve"> </w:t>
      </w:r>
      <w:r w:rsidR="008F2BF2" w:rsidRPr="006420C1">
        <w:rPr>
          <w:sz w:val="18"/>
          <w:szCs w:val="18"/>
        </w:rPr>
        <w:t xml:space="preserve">De </w:t>
      </w:r>
      <w:r w:rsidRPr="006420C1">
        <w:rPr>
          <w:sz w:val="18"/>
          <w:szCs w:val="18"/>
        </w:rPr>
        <w:t xml:space="preserve">verdeling </w:t>
      </w:r>
      <w:r w:rsidR="008F2BF2" w:rsidRPr="006420C1">
        <w:rPr>
          <w:sz w:val="18"/>
          <w:szCs w:val="18"/>
        </w:rPr>
        <w:t xml:space="preserve">van het aantal banen via inleenverbanden in de sector markt en overheid komt tot stand op basis van de verdeelsleutel inleenverbanden. </w:t>
      </w:r>
      <w:r w:rsidR="00910B92" w:rsidRPr="006420C1">
        <w:rPr>
          <w:sz w:val="18"/>
          <w:szCs w:val="18"/>
        </w:rPr>
        <w:t xml:space="preserve">De ingeleende mensen uit de doelgroep </w:t>
      </w:r>
      <w:r w:rsidR="00471501" w:rsidRPr="006420C1">
        <w:rPr>
          <w:sz w:val="18"/>
          <w:szCs w:val="18"/>
        </w:rPr>
        <w:t xml:space="preserve">worden </w:t>
      </w:r>
      <w:r w:rsidR="009172C1" w:rsidRPr="006420C1">
        <w:rPr>
          <w:sz w:val="18"/>
          <w:szCs w:val="18"/>
        </w:rPr>
        <w:t xml:space="preserve">bij iedere </w:t>
      </w:r>
      <w:r w:rsidR="00471501" w:rsidRPr="006420C1">
        <w:rPr>
          <w:sz w:val="18"/>
          <w:szCs w:val="18"/>
        </w:rPr>
        <w:t>meting</w:t>
      </w:r>
      <w:r w:rsidR="009172C1" w:rsidRPr="006420C1">
        <w:rPr>
          <w:sz w:val="18"/>
          <w:szCs w:val="18"/>
        </w:rPr>
        <w:t xml:space="preserve"> opnieuw </w:t>
      </w:r>
      <w:r w:rsidR="00910B92" w:rsidRPr="006420C1">
        <w:rPr>
          <w:sz w:val="18"/>
          <w:szCs w:val="18"/>
        </w:rPr>
        <w:t xml:space="preserve">toegedeeld aan </w:t>
      </w:r>
      <w:r w:rsidR="009172C1" w:rsidRPr="006420C1">
        <w:rPr>
          <w:sz w:val="18"/>
          <w:szCs w:val="18"/>
        </w:rPr>
        <w:t xml:space="preserve">de </w:t>
      </w:r>
      <w:r w:rsidR="00910B92" w:rsidRPr="006420C1">
        <w:rPr>
          <w:sz w:val="18"/>
          <w:szCs w:val="18"/>
        </w:rPr>
        <w:t xml:space="preserve">sectoren op basis van de verdeelsleutel inleenverbanden. Deze wordt vastgesteld op basis van objectief, representatief onderzoek. Dit onderzoek is uitgevoerd door SEO Economisch Onderzoek. In de begeleidingscommissie </w:t>
      </w:r>
      <w:r w:rsidR="004952CF">
        <w:rPr>
          <w:sz w:val="18"/>
          <w:szCs w:val="18"/>
        </w:rPr>
        <w:t>zijn</w:t>
      </w:r>
      <w:r w:rsidR="004952CF" w:rsidRPr="006420C1">
        <w:rPr>
          <w:sz w:val="18"/>
          <w:szCs w:val="18"/>
        </w:rPr>
        <w:t xml:space="preserve"> </w:t>
      </w:r>
      <w:r w:rsidR="00910B92" w:rsidRPr="006420C1">
        <w:rPr>
          <w:sz w:val="18"/>
          <w:szCs w:val="18"/>
        </w:rPr>
        <w:t xml:space="preserve">alle betrokken partijen, waaronder werkgeversorganisaties, uitzendbedrijven en Cedris vertegenwoordigd. </w:t>
      </w:r>
    </w:p>
    <w:p w:rsidR="009172C1" w:rsidRPr="006420C1" w:rsidRDefault="009172C1" w:rsidP="00910B92">
      <w:pPr>
        <w:pStyle w:val="Default"/>
        <w:spacing w:line="240" w:lineRule="atLeast"/>
        <w:rPr>
          <w:sz w:val="18"/>
          <w:szCs w:val="18"/>
        </w:rPr>
      </w:pPr>
    </w:p>
    <w:p w:rsidR="009172C1" w:rsidRPr="006420C1" w:rsidRDefault="009172C1" w:rsidP="00910B92">
      <w:pPr>
        <w:pStyle w:val="Default"/>
        <w:spacing w:line="240" w:lineRule="atLeast"/>
        <w:rPr>
          <w:sz w:val="18"/>
          <w:szCs w:val="18"/>
        </w:rPr>
      </w:pPr>
      <w:r w:rsidRPr="006420C1">
        <w:rPr>
          <w:sz w:val="18"/>
          <w:szCs w:val="18"/>
        </w:rPr>
        <w:t xml:space="preserve">Tijdens de nulmeting waren er 36.206 banen in inleenverbanden. 76,0 procent van deze inleenverbanden was gerelateerd aan de markt als inlenende sector en 24,0 procent aan de overheid. Uit de één-meting is naar voren gekomen dat er 48.483 banen in inleenverbanden waren. </w:t>
      </w:r>
      <w:r w:rsidR="00910B92" w:rsidRPr="006420C1">
        <w:rPr>
          <w:sz w:val="18"/>
          <w:szCs w:val="18"/>
        </w:rPr>
        <w:t>Uit het onderzoek</w:t>
      </w:r>
      <w:r w:rsidRPr="006420C1">
        <w:rPr>
          <w:sz w:val="18"/>
          <w:szCs w:val="18"/>
        </w:rPr>
        <w:t xml:space="preserve"> van SEO</w:t>
      </w:r>
      <w:r w:rsidR="00910B92" w:rsidRPr="006420C1">
        <w:rPr>
          <w:sz w:val="18"/>
          <w:szCs w:val="18"/>
        </w:rPr>
        <w:t xml:space="preserve"> </w:t>
      </w:r>
      <w:r w:rsidR="00447AB6" w:rsidRPr="00447AB6">
        <w:rPr>
          <w:sz w:val="18"/>
          <w:szCs w:val="18"/>
        </w:rPr>
        <w:t xml:space="preserve">naar alle mensen uit de doelgroep die werken via een inleenverband </w:t>
      </w:r>
      <w:r w:rsidR="00910B92" w:rsidRPr="006420C1">
        <w:rPr>
          <w:sz w:val="18"/>
          <w:szCs w:val="18"/>
        </w:rPr>
        <w:t xml:space="preserve">blijkt dat van </w:t>
      </w:r>
      <w:r w:rsidRPr="006420C1">
        <w:rPr>
          <w:sz w:val="18"/>
          <w:szCs w:val="18"/>
        </w:rPr>
        <w:t xml:space="preserve">de </w:t>
      </w:r>
      <w:r w:rsidR="00910B92" w:rsidRPr="006420C1">
        <w:rPr>
          <w:sz w:val="18"/>
          <w:szCs w:val="18"/>
        </w:rPr>
        <w:t>inleenverbanden tijdens de één-meting 68,8 procent is gerelateerd aan de markt als inlenende sector en 31,2 procent aan de sector overheid.</w:t>
      </w:r>
      <w:r w:rsidR="00471501" w:rsidRPr="006420C1">
        <w:rPr>
          <w:sz w:val="18"/>
          <w:szCs w:val="18"/>
        </w:rPr>
        <w:t xml:space="preserve"> Deze verdeelsleutel is toegepast op het totaal aantal verloonde uren van de inl</w:t>
      </w:r>
      <w:r w:rsidR="00327AB7" w:rsidRPr="006420C1">
        <w:rPr>
          <w:sz w:val="18"/>
          <w:szCs w:val="18"/>
        </w:rPr>
        <w:t xml:space="preserve">eenverbanden uit de één-meting. Dit resultaat, afgezet tegen de nulmeting, heeft als uitkomst </w:t>
      </w:r>
      <w:r w:rsidRPr="006420C1">
        <w:rPr>
          <w:sz w:val="18"/>
          <w:szCs w:val="18"/>
        </w:rPr>
        <w:t xml:space="preserve">dat het aantal banen in inleenverbanden in de markt ten opzichte van de nulmeting is toegenomen met 5.840 en bij de overheid met 6.437. </w:t>
      </w:r>
    </w:p>
    <w:p w:rsidR="00910B92" w:rsidRPr="006420C1" w:rsidRDefault="00910B92" w:rsidP="006A083D">
      <w:pPr>
        <w:rPr>
          <w:szCs w:val="18"/>
        </w:rPr>
      </w:pPr>
    </w:p>
    <w:p w:rsidR="0005240B" w:rsidRPr="006420C1" w:rsidRDefault="00BB65B4" w:rsidP="00327AB7">
      <w:pPr>
        <w:rPr>
          <w:szCs w:val="18"/>
        </w:rPr>
      </w:pPr>
      <w:r w:rsidRPr="006420C1">
        <w:rPr>
          <w:szCs w:val="18"/>
        </w:rPr>
        <w:t xml:space="preserve">Van de 12.277 banen </w:t>
      </w:r>
      <w:r w:rsidR="007026EE" w:rsidRPr="006420C1">
        <w:rPr>
          <w:szCs w:val="18"/>
        </w:rPr>
        <w:t xml:space="preserve">die </w:t>
      </w:r>
      <w:r w:rsidRPr="006420C1">
        <w:rPr>
          <w:szCs w:val="18"/>
        </w:rPr>
        <w:t xml:space="preserve">tot stand zijn gekomen via inleenverbanden gaat het bij 9.987 banen om extra Wsw-detacheringen. </w:t>
      </w:r>
      <w:r w:rsidR="0005240B" w:rsidRPr="00447AB6">
        <w:rPr>
          <w:szCs w:val="18"/>
        </w:rPr>
        <w:t>Deze</w:t>
      </w:r>
      <w:r w:rsidR="008F2BF2" w:rsidRPr="00447AB6">
        <w:rPr>
          <w:szCs w:val="18"/>
        </w:rPr>
        <w:t xml:space="preserve"> verschuiving van </w:t>
      </w:r>
      <w:r w:rsidR="00837C91" w:rsidRPr="00447AB6">
        <w:rPr>
          <w:szCs w:val="18"/>
        </w:rPr>
        <w:t>de sw-bedrijven</w:t>
      </w:r>
      <w:r w:rsidR="008F2BF2" w:rsidRPr="00447AB6">
        <w:rPr>
          <w:szCs w:val="18"/>
        </w:rPr>
        <w:t xml:space="preserve"> </w:t>
      </w:r>
      <w:r w:rsidR="0005240B" w:rsidRPr="00447AB6">
        <w:rPr>
          <w:szCs w:val="18"/>
        </w:rPr>
        <w:t>naar</w:t>
      </w:r>
      <w:r w:rsidR="0005240B" w:rsidRPr="006420C1">
        <w:rPr>
          <w:szCs w:val="18"/>
        </w:rPr>
        <w:t xml:space="preserve"> banen </w:t>
      </w:r>
      <w:r w:rsidR="008F2BF2" w:rsidRPr="006420C1">
        <w:rPr>
          <w:szCs w:val="18"/>
        </w:rPr>
        <w:t xml:space="preserve">op detacheringsbasis </w:t>
      </w:r>
      <w:r w:rsidR="0005240B" w:rsidRPr="006420C1">
        <w:rPr>
          <w:szCs w:val="18"/>
        </w:rPr>
        <w:t xml:space="preserve">bij een reguliere werkgever draagt bij aan de doelstelling van het kabinet </w:t>
      </w:r>
      <w:r w:rsidR="004952CF">
        <w:rPr>
          <w:szCs w:val="18"/>
        </w:rPr>
        <w:t>dat</w:t>
      </w:r>
      <w:r w:rsidR="004952CF" w:rsidRPr="006420C1">
        <w:rPr>
          <w:szCs w:val="18"/>
        </w:rPr>
        <w:t xml:space="preserve"> </w:t>
      </w:r>
      <w:r w:rsidR="0005240B" w:rsidRPr="006420C1">
        <w:rPr>
          <w:szCs w:val="18"/>
        </w:rPr>
        <w:t xml:space="preserve">zoveel mogelijk mensen in een reguliere </w:t>
      </w:r>
      <w:r w:rsidR="0044266A" w:rsidRPr="006420C1">
        <w:rPr>
          <w:szCs w:val="18"/>
        </w:rPr>
        <w:t>baan</w:t>
      </w:r>
      <w:r w:rsidR="0005240B" w:rsidRPr="006420C1">
        <w:rPr>
          <w:szCs w:val="18"/>
        </w:rPr>
        <w:t xml:space="preserve"> </w:t>
      </w:r>
      <w:r w:rsidR="004952CF">
        <w:rPr>
          <w:szCs w:val="18"/>
        </w:rPr>
        <w:t>kunnen gaan</w:t>
      </w:r>
      <w:r w:rsidR="0005240B" w:rsidRPr="006420C1">
        <w:rPr>
          <w:szCs w:val="18"/>
        </w:rPr>
        <w:t xml:space="preserve"> werken. </w:t>
      </w:r>
      <w:r w:rsidR="00327AB7" w:rsidRPr="006420C1">
        <w:rPr>
          <w:szCs w:val="18"/>
        </w:rPr>
        <w:t>D</w:t>
      </w:r>
      <w:r w:rsidR="0005240B" w:rsidRPr="006420C1">
        <w:rPr>
          <w:szCs w:val="18"/>
        </w:rPr>
        <w:t>e 9.987 extra banen via Wsw-detacheringen komen gedeeltelijk doordat de mensen die tijdens de nulmeting al werkten via een Wsw-detachering gemiddeld meer ur</w:t>
      </w:r>
      <w:r w:rsidR="00740B00" w:rsidRPr="006420C1">
        <w:rPr>
          <w:szCs w:val="18"/>
        </w:rPr>
        <w:t>en</w:t>
      </w:r>
      <w:r w:rsidR="0005240B" w:rsidRPr="006420C1">
        <w:rPr>
          <w:szCs w:val="18"/>
        </w:rPr>
        <w:t xml:space="preserve"> per week zijn gaan werken. Tijdens de nulmeting werkten mensen via een Wsw-detachering gemiddeld circa 31,</w:t>
      </w:r>
      <w:r w:rsidR="00C3382E" w:rsidRPr="006420C1">
        <w:rPr>
          <w:szCs w:val="18"/>
        </w:rPr>
        <w:t>3</w:t>
      </w:r>
      <w:r w:rsidR="0005240B" w:rsidRPr="006420C1">
        <w:rPr>
          <w:szCs w:val="18"/>
        </w:rPr>
        <w:t xml:space="preserve"> uur per week. Tijdens de één-meting werkten mensen via een Wsw-detachering gemiddeld circa 33,4 uur per week. De </w:t>
      </w:r>
      <w:r w:rsidR="00182382" w:rsidRPr="006420C1">
        <w:rPr>
          <w:szCs w:val="18"/>
        </w:rPr>
        <w:t>28.039</w:t>
      </w:r>
      <w:r w:rsidR="0005240B" w:rsidRPr="006420C1">
        <w:rPr>
          <w:szCs w:val="18"/>
        </w:rPr>
        <w:t xml:space="preserve"> mensen die tijdens de nulmeting dus al via een Wsw-detachering werkten zijn dus circa 2 uur per week meer gaan werken. Dit levert </w:t>
      </w:r>
      <w:r w:rsidR="00C3382E" w:rsidRPr="006420C1">
        <w:rPr>
          <w:szCs w:val="18"/>
        </w:rPr>
        <w:t>circa 2.300</w:t>
      </w:r>
      <w:r w:rsidR="0005240B" w:rsidRPr="006420C1">
        <w:rPr>
          <w:szCs w:val="18"/>
        </w:rPr>
        <w:t xml:space="preserve"> extra banen op. </w:t>
      </w:r>
      <w:r w:rsidRPr="006420C1">
        <w:rPr>
          <w:szCs w:val="18"/>
        </w:rPr>
        <w:t xml:space="preserve">Dit verklaart waarom het aantal extra banen groter is dan het aantal extra mensen. Dit effect is tijdelijk, aangezien nieuwe instroom in de Wsw vanaf 1 januari 2015 niet meer mogelijk is. </w:t>
      </w:r>
    </w:p>
    <w:p w:rsidR="0008502F" w:rsidRPr="006420C1" w:rsidRDefault="0008502F" w:rsidP="00DE7165">
      <w:pPr>
        <w:pStyle w:val="Default"/>
        <w:spacing w:line="240" w:lineRule="atLeast"/>
        <w:rPr>
          <w:sz w:val="18"/>
          <w:szCs w:val="18"/>
        </w:rPr>
      </w:pPr>
    </w:p>
    <w:p w:rsidR="008E6169" w:rsidRDefault="008E6169" w:rsidP="005960B7">
      <w:pPr>
        <w:rPr>
          <w:b/>
          <w:szCs w:val="18"/>
        </w:rPr>
      </w:pPr>
    </w:p>
    <w:p w:rsidR="008E6169" w:rsidRDefault="008E6169" w:rsidP="005960B7">
      <w:pPr>
        <w:rPr>
          <w:b/>
          <w:szCs w:val="18"/>
        </w:rPr>
      </w:pPr>
    </w:p>
    <w:p w:rsidR="008E6169" w:rsidRDefault="008E6169" w:rsidP="005960B7">
      <w:pPr>
        <w:rPr>
          <w:b/>
          <w:szCs w:val="18"/>
        </w:rPr>
      </w:pPr>
    </w:p>
    <w:p w:rsidR="00973666" w:rsidRPr="006420C1" w:rsidRDefault="0008502F" w:rsidP="00BB65B4">
      <w:pPr>
        <w:pStyle w:val="Default"/>
        <w:spacing w:line="240" w:lineRule="atLeast"/>
        <w:rPr>
          <w:sz w:val="18"/>
          <w:szCs w:val="18"/>
        </w:rPr>
      </w:pPr>
      <w:r w:rsidRPr="006420C1">
        <w:rPr>
          <w:sz w:val="18"/>
          <w:szCs w:val="18"/>
        </w:rPr>
        <w:t>Zoals ik in mijn brief van 29 april 2016</w:t>
      </w:r>
      <w:r w:rsidRPr="006420C1">
        <w:rPr>
          <w:rStyle w:val="Voetnootmarkering"/>
          <w:sz w:val="18"/>
          <w:szCs w:val="18"/>
        </w:rPr>
        <w:footnoteReference w:id="4"/>
      </w:r>
      <w:r w:rsidRPr="006420C1">
        <w:rPr>
          <w:sz w:val="18"/>
          <w:szCs w:val="18"/>
        </w:rPr>
        <w:t xml:space="preserve"> aan de Tweede Kamer heb gemeld, </w:t>
      </w:r>
      <w:r w:rsidR="00973666" w:rsidRPr="006420C1">
        <w:rPr>
          <w:sz w:val="18"/>
          <w:szCs w:val="18"/>
        </w:rPr>
        <w:t>heb ik een bestuurlijke afspraak gemaakt</w:t>
      </w:r>
      <w:r w:rsidRPr="006420C1">
        <w:rPr>
          <w:sz w:val="18"/>
          <w:szCs w:val="18"/>
        </w:rPr>
        <w:t xml:space="preserve"> met betrokken partijen </w:t>
      </w:r>
      <w:r w:rsidR="002A2D44" w:rsidRPr="006420C1">
        <w:rPr>
          <w:sz w:val="18"/>
          <w:szCs w:val="18"/>
        </w:rPr>
        <w:t>in de Werkkamer</w:t>
      </w:r>
      <w:r w:rsidR="00973666" w:rsidRPr="006420C1">
        <w:rPr>
          <w:sz w:val="18"/>
          <w:szCs w:val="18"/>
        </w:rPr>
        <w:t xml:space="preserve"> (sociale partners, VNG en UWV)</w:t>
      </w:r>
      <w:r w:rsidR="002A2D44" w:rsidRPr="006420C1">
        <w:rPr>
          <w:sz w:val="18"/>
          <w:szCs w:val="18"/>
        </w:rPr>
        <w:t xml:space="preserve"> </w:t>
      </w:r>
      <w:r w:rsidRPr="006420C1">
        <w:rPr>
          <w:sz w:val="18"/>
          <w:szCs w:val="18"/>
        </w:rPr>
        <w:t xml:space="preserve">om de herbezettingvoorwaarde op te schorten en definitief af te schaffen met de </w:t>
      </w:r>
      <w:r w:rsidR="009C0819" w:rsidRPr="006420C1">
        <w:rPr>
          <w:sz w:val="18"/>
          <w:szCs w:val="18"/>
        </w:rPr>
        <w:t xml:space="preserve">invoering van een </w:t>
      </w:r>
      <w:r w:rsidRPr="006420C1">
        <w:rPr>
          <w:sz w:val="18"/>
          <w:szCs w:val="18"/>
        </w:rPr>
        <w:t xml:space="preserve">wettelijke </w:t>
      </w:r>
      <w:r w:rsidR="009C0819" w:rsidRPr="006420C1">
        <w:rPr>
          <w:sz w:val="18"/>
          <w:szCs w:val="18"/>
        </w:rPr>
        <w:t xml:space="preserve">verplichting voor het realiseren </w:t>
      </w:r>
      <w:r w:rsidRPr="006420C1">
        <w:rPr>
          <w:sz w:val="18"/>
          <w:szCs w:val="18"/>
        </w:rPr>
        <w:t xml:space="preserve">van beschutte werkplekken. De </w:t>
      </w:r>
      <w:r w:rsidR="00973666" w:rsidRPr="006420C1">
        <w:rPr>
          <w:sz w:val="18"/>
          <w:szCs w:val="18"/>
        </w:rPr>
        <w:t xml:space="preserve">herbezettingsvoorwaarde </w:t>
      </w:r>
      <w:r w:rsidRPr="006420C1">
        <w:rPr>
          <w:sz w:val="18"/>
          <w:szCs w:val="18"/>
        </w:rPr>
        <w:t>met onder andere als doel het stimuleren van het creëren van beschutte werkplekken is met de</w:t>
      </w:r>
      <w:r w:rsidR="009C0819" w:rsidRPr="006420C1">
        <w:rPr>
          <w:sz w:val="18"/>
          <w:szCs w:val="18"/>
        </w:rPr>
        <w:t>ze</w:t>
      </w:r>
      <w:r w:rsidRPr="006420C1">
        <w:rPr>
          <w:sz w:val="18"/>
          <w:szCs w:val="18"/>
        </w:rPr>
        <w:t xml:space="preserve"> wettelijk</w:t>
      </w:r>
      <w:r w:rsidR="009C0819" w:rsidRPr="006420C1">
        <w:rPr>
          <w:sz w:val="18"/>
          <w:szCs w:val="18"/>
        </w:rPr>
        <w:t>e</w:t>
      </w:r>
      <w:r w:rsidRPr="006420C1">
        <w:rPr>
          <w:sz w:val="18"/>
          <w:szCs w:val="18"/>
        </w:rPr>
        <w:t xml:space="preserve"> </w:t>
      </w:r>
      <w:r w:rsidR="009C0819" w:rsidRPr="006420C1">
        <w:rPr>
          <w:sz w:val="18"/>
          <w:szCs w:val="18"/>
        </w:rPr>
        <w:t xml:space="preserve">verplichting </w:t>
      </w:r>
      <w:r w:rsidRPr="006420C1">
        <w:rPr>
          <w:sz w:val="18"/>
          <w:szCs w:val="18"/>
        </w:rPr>
        <w:t xml:space="preserve">niet meer nodig. </w:t>
      </w:r>
      <w:r w:rsidR="00973666" w:rsidRPr="006420C1">
        <w:rPr>
          <w:sz w:val="18"/>
          <w:szCs w:val="18"/>
        </w:rPr>
        <w:t xml:space="preserve">Werkgevers ervaren de herbezettingsvoorwaarde als complex. Ook zorgde de herbezettingsvoorwaarde voor onzekerheid bij de werkgever of de banen die hij </w:t>
      </w:r>
      <w:r w:rsidR="004952CF" w:rsidRPr="006420C1">
        <w:rPr>
          <w:sz w:val="18"/>
          <w:szCs w:val="18"/>
        </w:rPr>
        <w:t>realiseer</w:t>
      </w:r>
      <w:r w:rsidR="004952CF">
        <w:rPr>
          <w:sz w:val="18"/>
          <w:szCs w:val="18"/>
        </w:rPr>
        <w:t>t</w:t>
      </w:r>
      <w:r w:rsidR="004952CF" w:rsidRPr="006420C1">
        <w:rPr>
          <w:sz w:val="18"/>
          <w:szCs w:val="18"/>
        </w:rPr>
        <w:t xml:space="preserve"> </w:t>
      </w:r>
      <w:r w:rsidR="00973666" w:rsidRPr="006420C1">
        <w:rPr>
          <w:sz w:val="18"/>
          <w:szCs w:val="18"/>
        </w:rPr>
        <w:t xml:space="preserve">meetellen voor de banenafspraak. </w:t>
      </w:r>
      <w:r w:rsidRPr="006420C1">
        <w:rPr>
          <w:sz w:val="18"/>
          <w:szCs w:val="18"/>
        </w:rPr>
        <w:t xml:space="preserve">Voor werkgevers worden de tellingen </w:t>
      </w:r>
      <w:r w:rsidR="008B6A4F">
        <w:rPr>
          <w:sz w:val="18"/>
          <w:szCs w:val="18"/>
        </w:rPr>
        <w:t xml:space="preserve">daarom </w:t>
      </w:r>
      <w:r w:rsidRPr="006420C1">
        <w:rPr>
          <w:sz w:val="18"/>
          <w:szCs w:val="18"/>
        </w:rPr>
        <w:t>eenvoudiger, omdat er geen onduidelijkheid</w:t>
      </w:r>
      <w:r w:rsidR="0044266A" w:rsidRPr="006420C1">
        <w:rPr>
          <w:sz w:val="18"/>
          <w:szCs w:val="18"/>
        </w:rPr>
        <w:t xml:space="preserve"> meer</w:t>
      </w:r>
      <w:r w:rsidRPr="006420C1">
        <w:rPr>
          <w:sz w:val="18"/>
          <w:szCs w:val="18"/>
        </w:rPr>
        <w:t xml:space="preserve"> is of de banen via Wsw-detachering al dan niet meetellen. </w:t>
      </w:r>
      <w:r w:rsidR="000A329E" w:rsidRPr="00264A4C">
        <w:rPr>
          <w:sz w:val="18"/>
          <w:szCs w:val="18"/>
        </w:rPr>
        <w:t>Overigens zou zonder opschorting van de herbezettingsvoorwaarde de banenafspraak evengoed zowel door de sector overheid als door de marktsector zijn gehaald.</w:t>
      </w:r>
    </w:p>
    <w:p w:rsidR="005960B7" w:rsidRPr="006420C1" w:rsidRDefault="005960B7" w:rsidP="005960B7">
      <w:pPr>
        <w:rPr>
          <w:szCs w:val="18"/>
        </w:rPr>
      </w:pPr>
    </w:p>
    <w:p w:rsidR="00251B4A" w:rsidRPr="008E6169" w:rsidRDefault="00251B4A" w:rsidP="00251B4A">
      <w:pPr>
        <w:pStyle w:val="Default"/>
        <w:spacing w:line="240" w:lineRule="atLeast"/>
        <w:rPr>
          <w:b/>
          <w:i/>
          <w:sz w:val="18"/>
          <w:szCs w:val="18"/>
        </w:rPr>
      </w:pPr>
      <w:r w:rsidRPr="008E6169">
        <w:rPr>
          <w:b/>
          <w:i/>
          <w:sz w:val="18"/>
          <w:szCs w:val="18"/>
        </w:rPr>
        <w:t>Aantallen extra personen met een baan</w:t>
      </w:r>
    </w:p>
    <w:p w:rsidR="00251B4A" w:rsidRPr="006420C1" w:rsidRDefault="002E7996" w:rsidP="00251B4A">
      <w:pPr>
        <w:pStyle w:val="Default"/>
        <w:spacing w:line="240" w:lineRule="atLeast"/>
        <w:rPr>
          <w:sz w:val="18"/>
          <w:szCs w:val="18"/>
        </w:rPr>
      </w:pPr>
      <w:r w:rsidRPr="006420C1">
        <w:rPr>
          <w:sz w:val="18"/>
          <w:szCs w:val="18"/>
        </w:rPr>
        <w:t xml:space="preserve">Uit de één-meting blijkt niet alleen hoeveel banen er zijn voor mensen uit de doelgroep, het aantal mensen uit de doelgroep dat aan het werk is gegaan is ook onderdeel van de monitoring. </w:t>
      </w:r>
      <w:r w:rsidR="00251B4A" w:rsidRPr="006420C1">
        <w:rPr>
          <w:sz w:val="18"/>
          <w:szCs w:val="18"/>
        </w:rPr>
        <w:t xml:space="preserve">Het aantal mensen </w:t>
      </w:r>
      <w:r w:rsidRPr="006420C1">
        <w:rPr>
          <w:sz w:val="18"/>
          <w:szCs w:val="18"/>
        </w:rPr>
        <w:t xml:space="preserve">uit de doelgroep </w:t>
      </w:r>
      <w:r w:rsidR="00251B4A" w:rsidRPr="006420C1">
        <w:rPr>
          <w:sz w:val="18"/>
          <w:szCs w:val="18"/>
        </w:rPr>
        <w:t xml:space="preserve">dat </w:t>
      </w:r>
      <w:r w:rsidR="004952CF">
        <w:rPr>
          <w:sz w:val="18"/>
          <w:szCs w:val="18"/>
        </w:rPr>
        <w:t xml:space="preserve">rechtstreeks of gedetacheerd </w:t>
      </w:r>
      <w:r w:rsidR="00251B4A" w:rsidRPr="006420C1">
        <w:rPr>
          <w:sz w:val="18"/>
          <w:szCs w:val="18"/>
        </w:rPr>
        <w:t xml:space="preserve">werkt is gestegen met 13.847 personen, van 66.328 (nulmeting) naar 80.175 werkende mensen uit de doelgroep eind 2015. </w:t>
      </w:r>
    </w:p>
    <w:p w:rsidR="008E6169" w:rsidRPr="006420C1" w:rsidRDefault="008E6169" w:rsidP="00251B4A">
      <w:pPr>
        <w:pStyle w:val="Default"/>
        <w:spacing w:line="240" w:lineRule="atLeast"/>
        <w:rPr>
          <w:sz w:val="18"/>
          <w:szCs w:val="18"/>
        </w:rPr>
      </w:pPr>
    </w:p>
    <w:p w:rsidR="008E6169" w:rsidRPr="006420C1" w:rsidRDefault="00251B4A" w:rsidP="008E6169">
      <w:pPr>
        <w:rPr>
          <w:b/>
          <w:i/>
          <w:szCs w:val="18"/>
        </w:rPr>
      </w:pPr>
      <w:r w:rsidRPr="006420C1">
        <w:rPr>
          <w:szCs w:val="18"/>
        </w:rPr>
        <w:t xml:space="preserve">Dat het aantal werkzame mensen lager is dan het aantal banen, is als volgt te verklaren. Op het moment van de één-meting lag het gemiddeld aantal verloonde uren per werknemer hoger dan 25,5 uur per week (de omvang van één baan voor de banenafspraak). Uit de één-meting blijkt dat 9.987 van de banen die erbij zijn gekomen tot stand zijn gekomen via detacheringen vanuit de sociale werkvoorziening (Wsw-detacheringen). </w:t>
      </w:r>
      <w:r w:rsidR="002E7996" w:rsidRPr="006420C1">
        <w:rPr>
          <w:szCs w:val="18"/>
        </w:rPr>
        <w:t xml:space="preserve">Zoals eerder in deze brief aangegeven wordt dit deels veroorzaakt doordat mensen die werken via Wsw-detacheringen ten opzichte van de nulmeting meer uren per week zijn gaan werken. Dit geldt niet alleen voor mensen die </w:t>
      </w:r>
      <w:r w:rsidRPr="006420C1">
        <w:rPr>
          <w:szCs w:val="18"/>
        </w:rPr>
        <w:t>werken via Wsw-detacheringen</w:t>
      </w:r>
      <w:r w:rsidR="002E7996" w:rsidRPr="006420C1">
        <w:rPr>
          <w:szCs w:val="18"/>
        </w:rPr>
        <w:t>. Ook mensen uit de Wajong</w:t>
      </w:r>
      <w:r w:rsidR="00470DE7" w:rsidRPr="006420C1">
        <w:rPr>
          <w:szCs w:val="18"/>
        </w:rPr>
        <w:t xml:space="preserve"> </w:t>
      </w:r>
      <w:r w:rsidR="002E7996" w:rsidRPr="006420C1">
        <w:rPr>
          <w:szCs w:val="18"/>
        </w:rPr>
        <w:t>hebben vaak grotere contracten dan tijdens de nulmeting</w:t>
      </w:r>
      <w:r w:rsidRPr="006420C1">
        <w:rPr>
          <w:szCs w:val="18"/>
        </w:rPr>
        <w:t>. oWajongers werken</w:t>
      </w:r>
      <w:r w:rsidR="002E7996" w:rsidRPr="006420C1">
        <w:rPr>
          <w:szCs w:val="18"/>
        </w:rPr>
        <w:t xml:space="preserve"> bijvoorbeeld</w:t>
      </w:r>
      <w:r w:rsidRPr="006420C1">
        <w:rPr>
          <w:szCs w:val="18"/>
        </w:rPr>
        <w:t xml:space="preserve"> </w:t>
      </w:r>
      <w:r w:rsidR="002E7996" w:rsidRPr="006420C1">
        <w:rPr>
          <w:szCs w:val="18"/>
        </w:rPr>
        <w:t>circa 3,6</w:t>
      </w:r>
      <w:r w:rsidRPr="006420C1">
        <w:rPr>
          <w:szCs w:val="18"/>
        </w:rPr>
        <w:t xml:space="preserve"> uur per week meer dan de 25,5 uur.</w:t>
      </w:r>
      <w:r w:rsidR="00910B92" w:rsidRPr="006420C1">
        <w:rPr>
          <w:szCs w:val="18"/>
        </w:rPr>
        <w:t xml:space="preserve"> </w:t>
      </w:r>
      <w:r w:rsidR="002E7996" w:rsidRPr="006420C1">
        <w:rPr>
          <w:szCs w:val="18"/>
        </w:rPr>
        <w:t xml:space="preserve">Dit levert </w:t>
      </w:r>
      <w:r w:rsidR="00B029BA" w:rsidRPr="006420C1">
        <w:rPr>
          <w:szCs w:val="18"/>
        </w:rPr>
        <w:t xml:space="preserve">ook </w:t>
      </w:r>
      <w:r w:rsidR="002E7996" w:rsidRPr="006420C1">
        <w:rPr>
          <w:szCs w:val="18"/>
        </w:rPr>
        <w:t>extra banen op.</w:t>
      </w:r>
      <w:r w:rsidR="008E6169">
        <w:rPr>
          <w:szCs w:val="18"/>
        </w:rPr>
        <w:t xml:space="preserve"> A</w:t>
      </w:r>
      <w:r w:rsidR="008E6169" w:rsidRPr="006420C1">
        <w:rPr>
          <w:szCs w:val="18"/>
        </w:rPr>
        <w:t xml:space="preserve">angezien de banenafspraak gaat over het realiseren van het aantal </w:t>
      </w:r>
      <w:r w:rsidR="008E6169" w:rsidRPr="006420C1">
        <w:rPr>
          <w:i/>
          <w:szCs w:val="18"/>
        </w:rPr>
        <w:t>banen</w:t>
      </w:r>
      <w:r w:rsidR="008E6169" w:rsidRPr="006420C1">
        <w:rPr>
          <w:szCs w:val="18"/>
        </w:rPr>
        <w:t xml:space="preserve"> bij reguliere werkgevers, tellen we de aantallen banen en niet de aantallen mensen.</w:t>
      </w:r>
    </w:p>
    <w:p w:rsidR="008E6169" w:rsidRDefault="008E6169" w:rsidP="00DE7165">
      <w:pPr>
        <w:rPr>
          <w:szCs w:val="18"/>
        </w:rPr>
      </w:pPr>
    </w:p>
    <w:p w:rsidR="00BF335A" w:rsidRPr="008E6169" w:rsidRDefault="00BF335A" w:rsidP="00DE7165">
      <w:pPr>
        <w:rPr>
          <w:b/>
          <w:szCs w:val="18"/>
        </w:rPr>
      </w:pPr>
      <w:r w:rsidRPr="008E6169">
        <w:rPr>
          <w:b/>
          <w:szCs w:val="18"/>
        </w:rPr>
        <w:t>Tot slot</w:t>
      </w:r>
    </w:p>
    <w:p w:rsidR="00257B28" w:rsidRPr="006420C1" w:rsidRDefault="00F66A62" w:rsidP="00E430A3">
      <w:pPr>
        <w:rPr>
          <w:szCs w:val="18"/>
        </w:rPr>
      </w:pPr>
      <w:r w:rsidRPr="006420C1">
        <w:rPr>
          <w:szCs w:val="18"/>
        </w:rPr>
        <w:t xml:space="preserve">De cijfers laten zien dat we op de goede weg zijn. Tegelijkertijd is de uitdaging voor de komende jaren groot. </w:t>
      </w:r>
      <w:r w:rsidR="0087777A" w:rsidRPr="006420C1">
        <w:rPr>
          <w:szCs w:val="18"/>
        </w:rPr>
        <w:t xml:space="preserve">Het aantal banen zal ten opzichte van de nulmeting jaarlijks moeten blijven toenemen, met als </w:t>
      </w:r>
      <w:r w:rsidRPr="006420C1">
        <w:rPr>
          <w:szCs w:val="18"/>
        </w:rPr>
        <w:t xml:space="preserve">uiteindelijke doelstelling 125.000 banen voor mensen met een arbeidsbeperking. De uitvoering van de Wet banenafspraak is pas begonnen. </w:t>
      </w:r>
      <w:r w:rsidR="0087777A" w:rsidRPr="006420C1">
        <w:rPr>
          <w:szCs w:val="18"/>
        </w:rPr>
        <w:t xml:space="preserve">Het is een continu proces dat om voortdurende inspanningen vraagt. </w:t>
      </w:r>
      <w:r w:rsidR="004952CF">
        <w:rPr>
          <w:szCs w:val="18"/>
        </w:rPr>
        <w:t xml:space="preserve">Het kabinet </w:t>
      </w:r>
      <w:r w:rsidR="004952CF" w:rsidRPr="006420C1">
        <w:rPr>
          <w:szCs w:val="18"/>
        </w:rPr>
        <w:t xml:space="preserve"> </w:t>
      </w:r>
      <w:r w:rsidRPr="006420C1">
        <w:rPr>
          <w:szCs w:val="18"/>
        </w:rPr>
        <w:t>blijf</w:t>
      </w:r>
      <w:r w:rsidR="004952CF">
        <w:rPr>
          <w:szCs w:val="18"/>
        </w:rPr>
        <w:t>t</w:t>
      </w:r>
      <w:r w:rsidRPr="006420C1">
        <w:rPr>
          <w:szCs w:val="18"/>
        </w:rPr>
        <w:t xml:space="preserve"> </w:t>
      </w:r>
      <w:r w:rsidR="00E430A3" w:rsidRPr="006420C1">
        <w:rPr>
          <w:szCs w:val="18"/>
        </w:rPr>
        <w:t xml:space="preserve">daarom </w:t>
      </w:r>
      <w:r w:rsidRPr="006420C1">
        <w:rPr>
          <w:szCs w:val="18"/>
        </w:rPr>
        <w:t xml:space="preserve">de </w:t>
      </w:r>
      <w:r w:rsidR="00F40FFF" w:rsidRPr="006420C1">
        <w:rPr>
          <w:szCs w:val="18"/>
        </w:rPr>
        <w:t>vinger aan de pols houden.</w:t>
      </w:r>
      <w:r w:rsidRPr="006420C1">
        <w:rPr>
          <w:szCs w:val="18"/>
        </w:rPr>
        <w:t xml:space="preserve"> </w:t>
      </w:r>
      <w:r w:rsidR="00E44415" w:rsidRPr="006420C1">
        <w:rPr>
          <w:szCs w:val="18"/>
        </w:rPr>
        <w:t xml:space="preserve">UWV </w:t>
      </w:r>
      <w:r w:rsidR="004952CF">
        <w:rPr>
          <w:szCs w:val="18"/>
        </w:rPr>
        <w:t>stelt</w:t>
      </w:r>
      <w:r w:rsidR="004952CF" w:rsidRPr="006420C1">
        <w:rPr>
          <w:szCs w:val="18"/>
        </w:rPr>
        <w:t xml:space="preserve"> </w:t>
      </w:r>
      <w:r w:rsidR="00E44415" w:rsidRPr="006420C1">
        <w:rPr>
          <w:szCs w:val="18"/>
        </w:rPr>
        <w:t>conform de afspraken elk kwartaal een regionale trendrapportage op en publice</w:t>
      </w:r>
      <w:r w:rsidR="00CF1577">
        <w:rPr>
          <w:szCs w:val="18"/>
        </w:rPr>
        <w:t>e</w:t>
      </w:r>
      <w:r w:rsidR="00E44415" w:rsidRPr="006420C1">
        <w:rPr>
          <w:szCs w:val="18"/>
        </w:rPr>
        <w:t>r</w:t>
      </w:r>
      <w:r w:rsidR="00CF1577">
        <w:rPr>
          <w:szCs w:val="18"/>
        </w:rPr>
        <w:t>t deze</w:t>
      </w:r>
      <w:r w:rsidR="00E44415" w:rsidRPr="006420C1">
        <w:rPr>
          <w:szCs w:val="18"/>
        </w:rPr>
        <w:t xml:space="preserve"> om de voortgang </w:t>
      </w:r>
      <w:r w:rsidR="00E430A3" w:rsidRPr="006420C1">
        <w:rPr>
          <w:szCs w:val="18"/>
        </w:rPr>
        <w:t xml:space="preserve">van de </w:t>
      </w:r>
      <w:r w:rsidR="00E44415" w:rsidRPr="006420C1">
        <w:rPr>
          <w:szCs w:val="18"/>
        </w:rPr>
        <w:t xml:space="preserve">banenafspraak tussentijds te kunnen monitoren. Volgend jaar </w:t>
      </w:r>
      <w:r w:rsidR="00311355" w:rsidRPr="006420C1">
        <w:rPr>
          <w:szCs w:val="18"/>
        </w:rPr>
        <w:t>zomer</w:t>
      </w:r>
      <w:r w:rsidR="00E44415" w:rsidRPr="006420C1">
        <w:rPr>
          <w:szCs w:val="18"/>
        </w:rPr>
        <w:t xml:space="preserve"> volgt de volgende monitor banenafspraak.</w:t>
      </w:r>
      <w:r w:rsidR="00625C04" w:rsidRPr="006420C1">
        <w:rPr>
          <w:szCs w:val="18"/>
        </w:rPr>
        <w:t xml:space="preserve"> Over 2016 dienen er in totaal 20.500 extra banen </w:t>
      </w:r>
      <w:r w:rsidR="00AC1CC2" w:rsidRPr="006420C1">
        <w:rPr>
          <w:szCs w:val="18"/>
        </w:rPr>
        <w:t>ten opzichte van</w:t>
      </w:r>
      <w:r w:rsidR="00625C04" w:rsidRPr="006420C1">
        <w:rPr>
          <w:szCs w:val="18"/>
        </w:rPr>
        <w:t xml:space="preserve"> de nulmeting gerealiseerd te zijn. Minister Plasterk, Minister Blok en de aanjagers van de </w:t>
      </w:r>
      <w:r w:rsidR="00625C04" w:rsidRPr="006420C1">
        <w:rPr>
          <w:szCs w:val="18"/>
        </w:rPr>
        <w:lastRenderedPageBreak/>
        <w:t xml:space="preserve">banenafspraak, de heer Spigt en de heer Van der Gaag, zullen ook de komende tijd de verschillende werkgevers blijven aansporen om de </w:t>
      </w:r>
      <w:r w:rsidR="001319BF">
        <w:rPr>
          <w:szCs w:val="18"/>
        </w:rPr>
        <w:t xml:space="preserve">afgesproken </w:t>
      </w:r>
      <w:r w:rsidR="00625C04" w:rsidRPr="006420C1">
        <w:rPr>
          <w:szCs w:val="18"/>
        </w:rPr>
        <w:t>banen bij reguliere werkgevers te blijven realiseren</w:t>
      </w:r>
      <w:r w:rsidR="00AC1CC2" w:rsidRPr="006420C1">
        <w:rPr>
          <w:szCs w:val="18"/>
        </w:rPr>
        <w:t xml:space="preserve"> en de banen die al gerealiseerd zijn te behouden.</w:t>
      </w:r>
    </w:p>
    <w:p w:rsidR="00210AA8" w:rsidRPr="006420C1" w:rsidRDefault="00210AA8" w:rsidP="00DE7165">
      <w:pPr>
        <w:rPr>
          <w:szCs w:val="18"/>
        </w:rPr>
      </w:pPr>
    </w:p>
    <w:p w:rsidR="00F66A62" w:rsidRPr="006420C1" w:rsidRDefault="00D50B72" w:rsidP="00DE7165">
      <w:pPr>
        <w:rPr>
          <w:szCs w:val="18"/>
        </w:rPr>
      </w:pPr>
      <w:r w:rsidRPr="006420C1">
        <w:rPr>
          <w:szCs w:val="18"/>
        </w:rPr>
        <w:t xml:space="preserve">Daarnaast </w:t>
      </w:r>
      <w:r w:rsidR="00311355" w:rsidRPr="006420C1">
        <w:rPr>
          <w:szCs w:val="18"/>
        </w:rPr>
        <w:t xml:space="preserve">blijft het noodzakelijk </w:t>
      </w:r>
      <w:r w:rsidR="00AC1CC2" w:rsidRPr="006420C1">
        <w:rPr>
          <w:szCs w:val="18"/>
        </w:rPr>
        <w:t xml:space="preserve">om te blijven kijken waar belemmeringen kunnen </w:t>
      </w:r>
      <w:r w:rsidR="009367CE" w:rsidRPr="006420C1">
        <w:rPr>
          <w:szCs w:val="18"/>
        </w:rPr>
        <w:t xml:space="preserve">worden </w:t>
      </w:r>
      <w:r w:rsidR="00AC1CC2" w:rsidRPr="006420C1">
        <w:rPr>
          <w:szCs w:val="18"/>
        </w:rPr>
        <w:t>weg</w:t>
      </w:r>
      <w:r w:rsidR="009367CE" w:rsidRPr="006420C1">
        <w:rPr>
          <w:szCs w:val="18"/>
        </w:rPr>
        <w:t>ge</w:t>
      </w:r>
      <w:r w:rsidR="00AC1CC2" w:rsidRPr="006420C1">
        <w:rPr>
          <w:szCs w:val="18"/>
        </w:rPr>
        <w:t>n</w:t>
      </w:r>
      <w:r w:rsidR="009367CE" w:rsidRPr="006420C1">
        <w:rPr>
          <w:szCs w:val="18"/>
        </w:rPr>
        <w:t>o</w:t>
      </w:r>
      <w:r w:rsidR="00AC1CC2" w:rsidRPr="006420C1">
        <w:rPr>
          <w:szCs w:val="18"/>
        </w:rPr>
        <w:t>men en de regels</w:t>
      </w:r>
      <w:r w:rsidR="00266BFF" w:rsidRPr="006420C1">
        <w:rPr>
          <w:szCs w:val="18"/>
        </w:rPr>
        <w:t xml:space="preserve"> </w:t>
      </w:r>
      <w:r w:rsidR="009367CE" w:rsidRPr="006420C1">
        <w:rPr>
          <w:szCs w:val="18"/>
        </w:rPr>
        <w:t xml:space="preserve">kunnen worden </w:t>
      </w:r>
      <w:r w:rsidRPr="006420C1">
        <w:rPr>
          <w:szCs w:val="18"/>
        </w:rPr>
        <w:t>vereenvoudig</w:t>
      </w:r>
      <w:r w:rsidR="00B23DC0" w:rsidRPr="006420C1">
        <w:rPr>
          <w:szCs w:val="18"/>
        </w:rPr>
        <w:t>d</w:t>
      </w:r>
      <w:r w:rsidR="00AC1CC2" w:rsidRPr="006420C1">
        <w:rPr>
          <w:szCs w:val="18"/>
        </w:rPr>
        <w:t>.</w:t>
      </w:r>
      <w:r w:rsidRPr="006420C1">
        <w:rPr>
          <w:szCs w:val="18"/>
        </w:rPr>
        <w:t xml:space="preserve"> </w:t>
      </w:r>
      <w:r w:rsidR="00F92286" w:rsidRPr="006420C1">
        <w:rPr>
          <w:szCs w:val="18"/>
        </w:rPr>
        <w:t>Een wetsvoorstel met vereenvoudigingen</w:t>
      </w:r>
      <w:r w:rsidR="00C650F5" w:rsidRPr="006420C1">
        <w:rPr>
          <w:szCs w:val="18"/>
        </w:rPr>
        <w:t xml:space="preserve"> en stroomlijning van de Participatiewet</w:t>
      </w:r>
      <w:r w:rsidR="00F92286" w:rsidRPr="006420C1">
        <w:rPr>
          <w:szCs w:val="18"/>
        </w:rPr>
        <w:t xml:space="preserve"> is onlangs naar uw Kamer gestuurd. </w:t>
      </w:r>
      <w:r w:rsidR="00B24EF2" w:rsidRPr="006420C1">
        <w:rPr>
          <w:szCs w:val="18"/>
        </w:rPr>
        <w:t xml:space="preserve">Het is </w:t>
      </w:r>
      <w:r w:rsidR="00AC1CC2" w:rsidRPr="006420C1">
        <w:rPr>
          <w:szCs w:val="18"/>
        </w:rPr>
        <w:t xml:space="preserve">en blijft </w:t>
      </w:r>
      <w:r w:rsidR="00B24EF2" w:rsidRPr="006420C1">
        <w:rPr>
          <w:szCs w:val="18"/>
        </w:rPr>
        <w:t xml:space="preserve">van </w:t>
      </w:r>
      <w:r w:rsidR="00AC1CC2" w:rsidRPr="006420C1">
        <w:rPr>
          <w:szCs w:val="18"/>
        </w:rPr>
        <w:t>groot</w:t>
      </w:r>
      <w:r w:rsidR="00B24EF2" w:rsidRPr="006420C1">
        <w:rPr>
          <w:szCs w:val="18"/>
        </w:rPr>
        <w:t xml:space="preserve"> belang dat iedereen in Nederland</w:t>
      </w:r>
      <w:r w:rsidR="00AC1CC2" w:rsidRPr="006420C1">
        <w:rPr>
          <w:szCs w:val="18"/>
        </w:rPr>
        <w:t>, met of zonder arbeidsbeperking,</w:t>
      </w:r>
      <w:r w:rsidR="00B24EF2" w:rsidRPr="006420C1">
        <w:rPr>
          <w:szCs w:val="18"/>
        </w:rPr>
        <w:t xml:space="preserve"> de kans krijgt om mee te doen</w:t>
      </w:r>
      <w:r w:rsidR="00E049D2" w:rsidRPr="006420C1">
        <w:rPr>
          <w:szCs w:val="18"/>
        </w:rPr>
        <w:t xml:space="preserve"> op de arbeidsmarkt</w:t>
      </w:r>
      <w:r w:rsidR="00B24EF2" w:rsidRPr="006420C1">
        <w:rPr>
          <w:szCs w:val="18"/>
        </w:rPr>
        <w:t xml:space="preserve">. </w:t>
      </w:r>
      <w:r w:rsidR="00F66A62" w:rsidRPr="006420C1">
        <w:rPr>
          <w:szCs w:val="18"/>
        </w:rPr>
        <w:t xml:space="preserve"> </w:t>
      </w:r>
    </w:p>
    <w:p w:rsidR="00D24585" w:rsidRPr="006420C1" w:rsidRDefault="00D24585" w:rsidP="00DE7165">
      <w:pPr>
        <w:rPr>
          <w:szCs w:val="18"/>
        </w:rPr>
      </w:pPr>
    </w:p>
    <w:p w:rsidR="00D24585" w:rsidRPr="006420C1" w:rsidRDefault="00D24585" w:rsidP="00D24585">
      <w:pPr>
        <w:rPr>
          <w:szCs w:val="18"/>
        </w:rPr>
      </w:pPr>
      <w:r w:rsidRPr="006420C1">
        <w:rPr>
          <w:szCs w:val="18"/>
        </w:rPr>
        <w:t xml:space="preserve">De resultaten van de banenafspraak dragen bij aan het realiseren van de ambitie van het kabinet om te komen tot een inclusieve arbeidsmarkt. Een baan bij reguliere werkgevers is het uitgangspunt. Het moet in Nederland gewoon worden om samen te werken met collega’s die </w:t>
      </w:r>
      <w:r w:rsidR="0044266A" w:rsidRPr="006420C1">
        <w:rPr>
          <w:szCs w:val="18"/>
        </w:rPr>
        <w:t xml:space="preserve">soms </w:t>
      </w:r>
      <w:r w:rsidRPr="006420C1">
        <w:rPr>
          <w:szCs w:val="18"/>
        </w:rPr>
        <w:t xml:space="preserve">wat hulp nodig hebben. Dat </w:t>
      </w:r>
      <w:r w:rsidR="0044266A" w:rsidRPr="006420C1">
        <w:rPr>
          <w:szCs w:val="18"/>
        </w:rPr>
        <w:t xml:space="preserve">is de inclusieve arbeidsmarkt zoals ik die voor me zie. </w:t>
      </w:r>
      <w:r w:rsidRPr="006420C1">
        <w:rPr>
          <w:szCs w:val="18"/>
        </w:rPr>
        <w:t>Samen leven is wat mij betreft ook samen werken.</w:t>
      </w:r>
    </w:p>
    <w:p w:rsidR="00D24585" w:rsidRPr="006420C1" w:rsidRDefault="00D24585" w:rsidP="00DE7165">
      <w:pPr>
        <w:rPr>
          <w:szCs w:val="18"/>
        </w:rPr>
      </w:pPr>
    </w:p>
    <w:p w:rsidR="005B489B" w:rsidRPr="006420C1" w:rsidRDefault="005B489B" w:rsidP="00DE7165">
      <w:pPr>
        <w:rPr>
          <w:szCs w:val="18"/>
        </w:rPr>
      </w:pPr>
    </w:p>
    <w:tbl>
      <w:tblPr>
        <w:tblW w:w="0" w:type="auto"/>
        <w:tblCellMar>
          <w:left w:w="0" w:type="dxa"/>
          <w:right w:w="0" w:type="dxa"/>
        </w:tblCellMar>
        <w:tblLook w:val="01E0"/>
      </w:tblPr>
      <w:tblGrid>
        <w:gridCol w:w="7511"/>
      </w:tblGrid>
      <w:tr w:rsidR="005B489B" w:rsidRPr="006420C1" w:rsidTr="00693FAE">
        <w:trPr>
          <w:cantSplit/>
        </w:trPr>
        <w:tc>
          <w:tcPr>
            <w:tcW w:w="7651" w:type="dxa"/>
          </w:tcPr>
          <w:p w:rsidR="006420C1" w:rsidRPr="006420C1" w:rsidRDefault="006420C1">
            <w:bookmarkStart w:id="0" w:name="iOndertekening" w:colFirst="0" w:colLast="0"/>
            <w:r w:rsidRPr="006420C1">
              <w:t xml:space="preserve">De Staatssecretaris van Sociale Zaken </w:t>
            </w:r>
          </w:p>
          <w:p w:rsidR="006420C1" w:rsidRPr="006420C1" w:rsidRDefault="006420C1">
            <w:r w:rsidRPr="006420C1">
              <w:t>en Werkgelegenheid,</w:t>
            </w:r>
          </w:p>
          <w:p w:rsidR="006420C1" w:rsidRPr="006420C1" w:rsidRDefault="006420C1"/>
          <w:p w:rsidR="006420C1" w:rsidRPr="006420C1" w:rsidRDefault="006420C1"/>
          <w:p w:rsidR="006420C1" w:rsidRPr="006420C1" w:rsidRDefault="006420C1"/>
          <w:p w:rsidR="006420C1" w:rsidRPr="006420C1" w:rsidRDefault="006420C1"/>
          <w:p w:rsidR="005B489B" w:rsidRPr="006420C1" w:rsidRDefault="006420C1" w:rsidP="00DE7165">
            <w:r w:rsidRPr="006420C1">
              <w:t>Jetta Klijnsma</w:t>
            </w:r>
          </w:p>
        </w:tc>
      </w:tr>
      <w:bookmarkEnd w:id="0"/>
    </w:tbl>
    <w:p w:rsidR="003E40C4" w:rsidRPr="006420C1" w:rsidRDefault="003E40C4" w:rsidP="00DE7165">
      <w:pPr>
        <w:rPr>
          <w:szCs w:val="18"/>
        </w:rPr>
      </w:pPr>
    </w:p>
    <w:p w:rsidR="0033258A" w:rsidRPr="006420C1" w:rsidRDefault="0033258A" w:rsidP="00DE7165">
      <w:pPr>
        <w:rPr>
          <w:szCs w:val="18"/>
        </w:rPr>
      </w:pPr>
    </w:p>
    <w:p w:rsidR="00103C63" w:rsidRPr="006420C1" w:rsidRDefault="00120A00" w:rsidP="00DE7165">
      <w:pPr>
        <w:rPr>
          <w:b/>
          <w:szCs w:val="18"/>
        </w:rPr>
      </w:pPr>
      <w:r w:rsidRPr="006420C1">
        <w:rPr>
          <w:b/>
          <w:szCs w:val="18"/>
        </w:rPr>
        <w:br w:type="page"/>
      </w:r>
      <w:r w:rsidR="003E40C4" w:rsidRPr="006420C1">
        <w:rPr>
          <w:b/>
          <w:szCs w:val="18"/>
        </w:rPr>
        <w:lastRenderedPageBreak/>
        <w:t xml:space="preserve">Bijlage: Resultaten </w:t>
      </w:r>
      <w:r w:rsidR="00154BF3" w:rsidRPr="006420C1">
        <w:rPr>
          <w:b/>
          <w:szCs w:val="18"/>
        </w:rPr>
        <w:t>één-meting</w:t>
      </w:r>
      <w:r w:rsidR="003E40C4" w:rsidRPr="006420C1">
        <w:rPr>
          <w:b/>
          <w:szCs w:val="18"/>
        </w:rPr>
        <w:t xml:space="preserve"> banenafspraak </w:t>
      </w:r>
      <w:r w:rsidR="00821CC0">
        <w:rPr>
          <w:b/>
          <w:szCs w:val="18"/>
        </w:rPr>
        <w:t>eind</w:t>
      </w:r>
      <w:r w:rsidR="003E40C4" w:rsidRPr="006420C1">
        <w:rPr>
          <w:b/>
          <w:szCs w:val="18"/>
        </w:rPr>
        <w:t xml:space="preserve"> 2015</w:t>
      </w:r>
    </w:p>
    <w:p w:rsidR="008B31F1" w:rsidRPr="006420C1" w:rsidRDefault="008B31F1" w:rsidP="00DE7165">
      <w:pPr>
        <w:pStyle w:val="Default"/>
        <w:spacing w:line="240" w:lineRule="atLeast"/>
        <w:rPr>
          <w:sz w:val="18"/>
          <w:szCs w:val="18"/>
        </w:rPr>
      </w:pPr>
    </w:p>
    <w:p w:rsidR="00FA543F" w:rsidRPr="006420C1" w:rsidRDefault="00FA543F" w:rsidP="00DE7165">
      <w:pPr>
        <w:pStyle w:val="Default"/>
        <w:spacing w:line="240" w:lineRule="atLeast"/>
        <w:rPr>
          <w:color w:val="auto"/>
          <w:sz w:val="18"/>
          <w:szCs w:val="18"/>
        </w:rPr>
      </w:pPr>
    </w:p>
    <w:p w:rsidR="00E56F87" w:rsidRPr="006420C1" w:rsidRDefault="00E56F87" w:rsidP="00DE7165">
      <w:pPr>
        <w:pStyle w:val="Default"/>
        <w:spacing w:line="240" w:lineRule="atLeast"/>
        <w:rPr>
          <w:rFonts w:cs="Arial"/>
          <w:i/>
          <w:color w:val="auto"/>
          <w:sz w:val="18"/>
          <w:szCs w:val="18"/>
          <w:lang w:eastAsia="ja-JP"/>
        </w:rPr>
      </w:pPr>
      <w:r w:rsidRPr="006420C1">
        <w:rPr>
          <w:i/>
          <w:color w:val="auto"/>
          <w:sz w:val="18"/>
          <w:szCs w:val="18"/>
        </w:rPr>
        <w:t xml:space="preserve">Tabel I: </w:t>
      </w:r>
      <w:r w:rsidR="00BF06B5" w:rsidRPr="006420C1">
        <w:rPr>
          <w:i/>
          <w:color w:val="auto"/>
          <w:sz w:val="18"/>
          <w:szCs w:val="18"/>
        </w:rPr>
        <w:t xml:space="preserve">Verschil aantal </w:t>
      </w:r>
      <w:r w:rsidRPr="006420C1">
        <w:rPr>
          <w:i/>
          <w:color w:val="auto"/>
          <w:sz w:val="18"/>
          <w:szCs w:val="18"/>
        </w:rPr>
        <w:t xml:space="preserve">banen </w:t>
      </w:r>
      <w:r w:rsidR="00154BF3" w:rsidRPr="006420C1">
        <w:rPr>
          <w:i/>
          <w:color w:val="auto"/>
          <w:sz w:val="18"/>
          <w:szCs w:val="18"/>
        </w:rPr>
        <w:t>één-meting</w:t>
      </w:r>
      <w:r w:rsidR="00B66643" w:rsidRPr="006420C1">
        <w:rPr>
          <w:i/>
          <w:color w:val="auto"/>
          <w:sz w:val="18"/>
          <w:szCs w:val="18"/>
        </w:rPr>
        <w:t xml:space="preserve"> </w:t>
      </w:r>
      <w:r w:rsidR="00BF06B5" w:rsidRPr="006420C1">
        <w:rPr>
          <w:i/>
          <w:color w:val="auto"/>
          <w:sz w:val="18"/>
          <w:szCs w:val="18"/>
        </w:rPr>
        <w:t xml:space="preserve">t.o.v. nulmeting </w:t>
      </w:r>
      <w:r w:rsidR="00B66643" w:rsidRPr="006420C1">
        <w:rPr>
          <w:i/>
          <w:color w:val="auto"/>
          <w:sz w:val="18"/>
          <w:szCs w:val="18"/>
        </w:rPr>
        <w:t>(verschil van tabel III en II)</w:t>
      </w:r>
    </w:p>
    <w:p w:rsidR="008B31F1" w:rsidRPr="006420C1" w:rsidRDefault="008B31F1" w:rsidP="00DE7165">
      <w:pPr>
        <w:pStyle w:val="Default"/>
        <w:spacing w:line="240" w:lineRule="atLeast"/>
        <w:rPr>
          <w:color w:val="auto"/>
          <w:sz w:val="18"/>
          <w:szCs w:val="18"/>
        </w:rPr>
      </w:pPr>
    </w:p>
    <w:tbl>
      <w:tblPr>
        <w:tblW w:w="0" w:type="auto"/>
        <w:tblBorders>
          <w:insideH w:val="single" w:sz="18" w:space="0" w:color="FFFFFF"/>
          <w:insideV w:val="single" w:sz="18" w:space="0" w:color="FFFFFF"/>
        </w:tblBorders>
        <w:tblLook w:val="04A0"/>
      </w:tblPr>
      <w:tblGrid>
        <w:gridCol w:w="1912"/>
        <w:gridCol w:w="1913"/>
        <w:gridCol w:w="1913"/>
        <w:gridCol w:w="1913"/>
      </w:tblGrid>
      <w:tr w:rsidR="00730FA4" w:rsidRPr="006420C1" w:rsidTr="00520F35">
        <w:tc>
          <w:tcPr>
            <w:tcW w:w="1912" w:type="dxa"/>
            <w:shd w:val="pct20" w:color="000000" w:fill="FFFFFF"/>
          </w:tcPr>
          <w:p w:rsidR="00730FA4" w:rsidRPr="006420C1" w:rsidRDefault="005C323D" w:rsidP="00B52F7B">
            <w:pPr>
              <w:pStyle w:val="Default"/>
              <w:spacing w:line="240" w:lineRule="atLeast"/>
              <w:rPr>
                <w:b/>
                <w:bCs/>
                <w:color w:val="auto"/>
                <w:sz w:val="18"/>
                <w:szCs w:val="18"/>
              </w:rPr>
            </w:pPr>
            <w:r w:rsidRPr="006420C1">
              <w:rPr>
                <w:b/>
                <w:bCs/>
                <w:color w:val="auto"/>
                <w:sz w:val="18"/>
                <w:szCs w:val="18"/>
              </w:rPr>
              <w:t>Aantal banen bij 1-meting</w:t>
            </w:r>
          </w:p>
        </w:tc>
        <w:tc>
          <w:tcPr>
            <w:tcW w:w="1913" w:type="dxa"/>
            <w:shd w:val="pct20" w:color="000000" w:fill="FFFFFF"/>
          </w:tcPr>
          <w:p w:rsidR="00730FA4" w:rsidRPr="006420C1" w:rsidRDefault="00AC1CC2" w:rsidP="00AC1CC2">
            <w:pPr>
              <w:pStyle w:val="Default"/>
              <w:spacing w:line="240" w:lineRule="atLeast"/>
              <w:rPr>
                <w:b/>
                <w:bCs/>
                <w:color w:val="auto"/>
                <w:sz w:val="18"/>
                <w:szCs w:val="18"/>
              </w:rPr>
            </w:pPr>
            <w:r w:rsidRPr="006420C1">
              <w:rPr>
                <w:b/>
                <w:bCs/>
                <w:color w:val="auto"/>
                <w:sz w:val="18"/>
                <w:szCs w:val="18"/>
              </w:rPr>
              <w:t>Toename a</w:t>
            </w:r>
            <w:r w:rsidR="005C323D" w:rsidRPr="006420C1">
              <w:rPr>
                <w:b/>
                <w:bCs/>
                <w:color w:val="auto"/>
                <w:sz w:val="18"/>
                <w:szCs w:val="18"/>
              </w:rPr>
              <w:t>antal banen markt</w:t>
            </w:r>
          </w:p>
        </w:tc>
        <w:tc>
          <w:tcPr>
            <w:tcW w:w="1913" w:type="dxa"/>
            <w:shd w:val="pct20" w:color="000000" w:fill="FFFFFF"/>
          </w:tcPr>
          <w:p w:rsidR="00730FA4" w:rsidRPr="006420C1" w:rsidRDefault="00AC1CC2" w:rsidP="00AC1CC2">
            <w:pPr>
              <w:pStyle w:val="Default"/>
              <w:spacing w:line="240" w:lineRule="atLeast"/>
              <w:rPr>
                <w:b/>
                <w:bCs/>
                <w:color w:val="auto"/>
                <w:sz w:val="18"/>
                <w:szCs w:val="18"/>
              </w:rPr>
            </w:pPr>
            <w:r w:rsidRPr="006420C1">
              <w:rPr>
                <w:b/>
                <w:bCs/>
                <w:color w:val="auto"/>
                <w:sz w:val="18"/>
                <w:szCs w:val="18"/>
              </w:rPr>
              <w:t>Toename a</w:t>
            </w:r>
            <w:r w:rsidR="005C323D" w:rsidRPr="006420C1">
              <w:rPr>
                <w:b/>
                <w:bCs/>
                <w:color w:val="auto"/>
                <w:sz w:val="18"/>
                <w:szCs w:val="18"/>
              </w:rPr>
              <w:t>antal banen overheid</w:t>
            </w:r>
          </w:p>
        </w:tc>
        <w:tc>
          <w:tcPr>
            <w:tcW w:w="1913" w:type="dxa"/>
            <w:shd w:val="pct20" w:color="000000" w:fill="FFFFFF"/>
          </w:tcPr>
          <w:p w:rsidR="00730FA4" w:rsidRPr="006420C1" w:rsidRDefault="005C323D" w:rsidP="00CC6DB4">
            <w:pPr>
              <w:pStyle w:val="Default"/>
              <w:spacing w:line="240" w:lineRule="atLeast"/>
              <w:rPr>
                <w:b/>
                <w:bCs/>
                <w:color w:val="auto"/>
                <w:sz w:val="18"/>
                <w:szCs w:val="18"/>
              </w:rPr>
            </w:pPr>
            <w:r w:rsidRPr="006420C1">
              <w:rPr>
                <w:b/>
                <w:bCs/>
                <w:color w:val="auto"/>
                <w:sz w:val="18"/>
                <w:szCs w:val="18"/>
              </w:rPr>
              <w:t>Total</w:t>
            </w:r>
            <w:r w:rsidR="00CC6DB4" w:rsidRPr="006420C1">
              <w:rPr>
                <w:b/>
                <w:bCs/>
                <w:color w:val="auto"/>
                <w:sz w:val="18"/>
                <w:szCs w:val="18"/>
              </w:rPr>
              <w:t>e toename</w:t>
            </w:r>
            <w:r w:rsidRPr="006420C1">
              <w:rPr>
                <w:b/>
                <w:bCs/>
                <w:color w:val="auto"/>
                <w:sz w:val="18"/>
                <w:szCs w:val="18"/>
              </w:rPr>
              <w:t xml:space="preserve"> aantal banen</w:t>
            </w:r>
          </w:p>
        </w:tc>
      </w:tr>
      <w:tr w:rsidR="00730FA4" w:rsidRPr="006420C1" w:rsidTr="00520F35">
        <w:tc>
          <w:tcPr>
            <w:tcW w:w="1912" w:type="dxa"/>
            <w:shd w:val="pct5" w:color="000000" w:fill="FFFFFF"/>
          </w:tcPr>
          <w:p w:rsidR="00730FA4" w:rsidRPr="006420C1" w:rsidRDefault="00FA543F" w:rsidP="007609FC">
            <w:pPr>
              <w:pStyle w:val="Default"/>
              <w:spacing w:line="240" w:lineRule="atLeast"/>
              <w:rPr>
                <w:color w:val="auto"/>
                <w:sz w:val="18"/>
                <w:szCs w:val="18"/>
              </w:rPr>
            </w:pPr>
            <w:r w:rsidRPr="006420C1">
              <w:rPr>
                <w:color w:val="auto"/>
                <w:sz w:val="18"/>
                <w:szCs w:val="18"/>
              </w:rPr>
              <w:t xml:space="preserve">Formele </w:t>
            </w:r>
            <w:r w:rsidR="007609FC">
              <w:rPr>
                <w:color w:val="auto"/>
                <w:sz w:val="18"/>
                <w:szCs w:val="18"/>
              </w:rPr>
              <w:t>dienstverbanden</w:t>
            </w:r>
          </w:p>
        </w:tc>
        <w:tc>
          <w:tcPr>
            <w:tcW w:w="1913" w:type="dxa"/>
            <w:shd w:val="pct5" w:color="000000" w:fill="FFFFFF"/>
          </w:tcPr>
          <w:p w:rsidR="00730FA4" w:rsidRPr="006420C1" w:rsidRDefault="00B52F7B" w:rsidP="00DE7165">
            <w:pPr>
              <w:pStyle w:val="Default"/>
              <w:spacing w:line="240" w:lineRule="atLeast"/>
              <w:rPr>
                <w:color w:val="auto"/>
                <w:sz w:val="18"/>
                <w:szCs w:val="18"/>
              </w:rPr>
            </w:pPr>
            <w:r w:rsidRPr="006420C1">
              <w:rPr>
                <w:color w:val="auto"/>
                <w:sz w:val="18"/>
                <w:szCs w:val="18"/>
              </w:rPr>
              <w:t>9.764</w:t>
            </w:r>
          </w:p>
        </w:tc>
        <w:tc>
          <w:tcPr>
            <w:tcW w:w="1913" w:type="dxa"/>
            <w:shd w:val="pct5" w:color="000000" w:fill="FFFFFF"/>
          </w:tcPr>
          <w:p w:rsidR="00730FA4" w:rsidRPr="006420C1" w:rsidRDefault="005A3453" w:rsidP="00DE7165">
            <w:pPr>
              <w:pStyle w:val="Default"/>
              <w:spacing w:line="240" w:lineRule="atLeast"/>
              <w:rPr>
                <w:color w:val="auto"/>
                <w:sz w:val="18"/>
                <w:szCs w:val="18"/>
              </w:rPr>
            </w:pPr>
            <w:r w:rsidRPr="006420C1">
              <w:rPr>
                <w:color w:val="auto"/>
                <w:sz w:val="18"/>
                <w:szCs w:val="18"/>
              </w:rPr>
              <w:t>-/- 984</w:t>
            </w:r>
          </w:p>
        </w:tc>
        <w:tc>
          <w:tcPr>
            <w:tcW w:w="1913" w:type="dxa"/>
            <w:shd w:val="pct5" w:color="000000" w:fill="FFFFFF"/>
          </w:tcPr>
          <w:p w:rsidR="00730FA4" w:rsidRPr="006420C1" w:rsidRDefault="00B52F7B" w:rsidP="00DE7165">
            <w:pPr>
              <w:pStyle w:val="Default"/>
              <w:spacing w:line="240" w:lineRule="atLeast"/>
              <w:rPr>
                <w:color w:val="auto"/>
                <w:sz w:val="18"/>
                <w:szCs w:val="18"/>
              </w:rPr>
            </w:pPr>
            <w:r w:rsidRPr="006420C1">
              <w:rPr>
                <w:color w:val="auto"/>
                <w:sz w:val="18"/>
                <w:szCs w:val="18"/>
              </w:rPr>
              <w:t>8.780</w:t>
            </w:r>
          </w:p>
        </w:tc>
      </w:tr>
      <w:tr w:rsidR="00730FA4" w:rsidRPr="006420C1" w:rsidTr="00520F35">
        <w:tc>
          <w:tcPr>
            <w:tcW w:w="1912" w:type="dxa"/>
            <w:shd w:val="pct20" w:color="000000" w:fill="FFFFFF"/>
          </w:tcPr>
          <w:p w:rsidR="00730FA4" w:rsidRPr="006420C1" w:rsidRDefault="00FA543F" w:rsidP="00DE7165">
            <w:pPr>
              <w:pStyle w:val="Default"/>
              <w:spacing w:line="240" w:lineRule="atLeast"/>
              <w:rPr>
                <w:color w:val="auto"/>
                <w:sz w:val="18"/>
                <w:szCs w:val="18"/>
              </w:rPr>
            </w:pPr>
            <w:r w:rsidRPr="006420C1">
              <w:rPr>
                <w:color w:val="auto"/>
                <w:sz w:val="18"/>
                <w:szCs w:val="18"/>
              </w:rPr>
              <w:t>Inleenverbanden</w:t>
            </w:r>
            <w:r w:rsidR="00A96E20">
              <w:rPr>
                <w:color w:val="auto"/>
                <w:sz w:val="18"/>
                <w:szCs w:val="18"/>
              </w:rPr>
              <w:t xml:space="preserve"> (Uitzendrelaties en</w:t>
            </w:r>
            <w:r w:rsidR="007F0133" w:rsidRPr="006420C1">
              <w:rPr>
                <w:color w:val="auto"/>
                <w:sz w:val="18"/>
                <w:szCs w:val="18"/>
              </w:rPr>
              <w:t xml:space="preserve"> en WSW detacheringen</w:t>
            </w:r>
            <w:r w:rsidR="00A96E20">
              <w:rPr>
                <w:color w:val="auto"/>
                <w:sz w:val="18"/>
                <w:szCs w:val="18"/>
              </w:rPr>
              <w:t>)</w:t>
            </w:r>
          </w:p>
        </w:tc>
        <w:tc>
          <w:tcPr>
            <w:tcW w:w="1913" w:type="dxa"/>
            <w:shd w:val="pct20" w:color="000000" w:fill="FFFFFF"/>
          </w:tcPr>
          <w:p w:rsidR="00730FA4" w:rsidRPr="006420C1" w:rsidRDefault="005A3453" w:rsidP="00DE7165">
            <w:pPr>
              <w:pStyle w:val="Default"/>
              <w:spacing w:line="240" w:lineRule="atLeast"/>
              <w:rPr>
                <w:color w:val="auto"/>
                <w:sz w:val="18"/>
                <w:szCs w:val="18"/>
              </w:rPr>
            </w:pPr>
            <w:r w:rsidRPr="006420C1">
              <w:rPr>
                <w:color w:val="auto"/>
                <w:sz w:val="18"/>
                <w:szCs w:val="18"/>
              </w:rPr>
              <w:t xml:space="preserve">  </w:t>
            </w:r>
            <w:r w:rsidR="00B52F7B" w:rsidRPr="006420C1">
              <w:rPr>
                <w:color w:val="auto"/>
                <w:sz w:val="18"/>
                <w:szCs w:val="18"/>
              </w:rPr>
              <w:t>5.840</w:t>
            </w:r>
          </w:p>
        </w:tc>
        <w:tc>
          <w:tcPr>
            <w:tcW w:w="1913" w:type="dxa"/>
            <w:shd w:val="pct20" w:color="000000" w:fill="FFFFFF"/>
          </w:tcPr>
          <w:p w:rsidR="00730FA4" w:rsidRPr="006420C1" w:rsidRDefault="005A3453" w:rsidP="00DE7165">
            <w:pPr>
              <w:pStyle w:val="Default"/>
              <w:spacing w:line="240" w:lineRule="atLeast"/>
              <w:rPr>
                <w:color w:val="auto"/>
                <w:sz w:val="18"/>
                <w:szCs w:val="18"/>
              </w:rPr>
            </w:pPr>
            <w:r w:rsidRPr="006420C1">
              <w:rPr>
                <w:color w:val="auto"/>
                <w:sz w:val="18"/>
                <w:szCs w:val="18"/>
              </w:rPr>
              <w:t xml:space="preserve">   </w:t>
            </w:r>
            <w:r w:rsidR="00B52F7B" w:rsidRPr="006420C1">
              <w:rPr>
                <w:color w:val="auto"/>
                <w:sz w:val="18"/>
                <w:szCs w:val="18"/>
              </w:rPr>
              <w:t>6.437</w:t>
            </w:r>
          </w:p>
        </w:tc>
        <w:tc>
          <w:tcPr>
            <w:tcW w:w="1913" w:type="dxa"/>
            <w:shd w:val="pct20" w:color="000000" w:fill="FFFFFF"/>
          </w:tcPr>
          <w:p w:rsidR="00730FA4" w:rsidRPr="006420C1" w:rsidRDefault="00B52F7B" w:rsidP="00DE7165">
            <w:pPr>
              <w:pStyle w:val="Default"/>
              <w:spacing w:line="240" w:lineRule="atLeast"/>
              <w:rPr>
                <w:color w:val="auto"/>
                <w:sz w:val="18"/>
                <w:szCs w:val="18"/>
              </w:rPr>
            </w:pPr>
            <w:r w:rsidRPr="006420C1">
              <w:rPr>
                <w:color w:val="auto"/>
                <w:sz w:val="18"/>
                <w:szCs w:val="18"/>
              </w:rPr>
              <w:t>12.277</w:t>
            </w:r>
          </w:p>
        </w:tc>
      </w:tr>
      <w:tr w:rsidR="00730FA4" w:rsidRPr="006420C1" w:rsidTr="00520F35">
        <w:tc>
          <w:tcPr>
            <w:tcW w:w="1912" w:type="dxa"/>
            <w:shd w:val="pct5" w:color="000000" w:fill="FFFFFF"/>
          </w:tcPr>
          <w:p w:rsidR="00730FA4" w:rsidRPr="006420C1" w:rsidRDefault="00FA543F" w:rsidP="00DE7165">
            <w:pPr>
              <w:pStyle w:val="Default"/>
              <w:spacing w:line="240" w:lineRule="atLeast"/>
              <w:rPr>
                <w:b/>
                <w:color w:val="auto"/>
                <w:sz w:val="18"/>
                <w:szCs w:val="18"/>
              </w:rPr>
            </w:pPr>
            <w:r w:rsidRPr="006420C1">
              <w:rPr>
                <w:b/>
                <w:color w:val="auto"/>
                <w:sz w:val="18"/>
                <w:szCs w:val="18"/>
              </w:rPr>
              <w:t>Totaal</w:t>
            </w:r>
          </w:p>
        </w:tc>
        <w:tc>
          <w:tcPr>
            <w:tcW w:w="1913" w:type="dxa"/>
            <w:shd w:val="pct5" w:color="000000" w:fill="FFFFFF"/>
          </w:tcPr>
          <w:p w:rsidR="00730FA4" w:rsidRPr="006420C1" w:rsidRDefault="00B52F7B" w:rsidP="00DE7165">
            <w:pPr>
              <w:pStyle w:val="Default"/>
              <w:spacing w:line="240" w:lineRule="atLeast"/>
              <w:rPr>
                <w:b/>
                <w:color w:val="auto"/>
                <w:sz w:val="18"/>
                <w:szCs w:val="18"/>
              </w:rPr>
            </w:pPr>
            <w:r w:rsidRPr="006420C1">
              <w:rPr>
                <w:b/>
                <w:color w:val="auto"/>
                <w:sz w:val="18"/>
                <w:szCs w:val="18"/>
              </w:rPr>
              <w:t>15.604</w:t>
            </w:r>
          </w:p>
        </w:tc>
        <w:tc>
          <w:tcPr>
            <w:tcW w:w="1913" w:type="dxa"/>
            <w:shd w:val="pct5" w:color="000000" w:fill="FFFFFF"/>
          </w:tcPr>
          <w:p w:rsidR="00730FA4" w:rsidRPr="006420C1" w:rsidRDefault="005A3453" w:rsidP="00DE7165">
            <w:pPr>
              <w:pStyle w:val="Default"/>
              <w:spacing w:line="240" w:lineRule="atLeast"/>
              <w:rPr>
                <w:b/>
                <w:color w:val="auto"/>
                <w:sz w:val="18"/>
                <w:szCs w:val="18"/>
              </w:rPr>
            </w:pPr>
            <w:r w:rsidRPr="006420C1">
              <w:rPr>
                <w:b/>
                <w:color w:val="auto"/>
                <w:sz w:val="18"/>
                <w:szCs w:val="18"/>
              </w:rPr>
              <w:t xml:space="preserve">  5</w:t>
            </w:r>
            <w:r w:rsidR="00B52F7B" w:rsidRPr="006420C1">
              <w:rPr>
                <w:b/>
                <w:color w:val="auto"/>
                <w:sz w:val="18"/>
                <w:szCs w:val="18"/>
              </w:rPr>
              <w:t>.453</w:t>
            </w:r>
          </w:p>
        </w:tc>
        <w:tc>
          <w:tcPr>
            <w:tcW w:w="1913" w:type="dxa"/>
            <w:shd w:val="pct5" w:color="000000" w:fill="FFFFFF"/>
          </w:tcPr>
          <w:p w:rsidR="00730FA4" w:rsidRPr="006420C1" w:rsidRDefault="005A3453" w:rsidP="00DE7165">
            <w:pPr>
              <w:pStyle w:val="Default"/>
              <w:spacing w:line="240" w:lineRule="atLeast"/>
              <w:rPr>
                <w:b/>
                <w:color w:val="auto"/>
                <w:sz w:val="18"/>
                <w:szCs w:val="18"/>
              </w:rPr>
            </w:pPr>
            <w:r w:rsidRPr="006420C1">
              <w:rPr>
                <w:b/>
                <w:color w:val="auto"/>
                <w:sz w:val="18"/>
                <w:szCs w:val="18"/>
              </w:rPr>
              <w:t>2</w:t>
            </w:r>
            <w:r w:rsidR="00B52F7B" w:rsidRPr="006420C1">
              <w:rPr>
                <w:b/>
                <w:color w:val="auto"/>
                <w:sz w:val="18"/>
                <w:szCs w:val="18"/>
              </w:rPr>
              <w:t>1.057</w:t>
            </w:r>
          </w:p>
        </w:tc>
      </w:tr>
    </w:tbl>
    <w:p w:rsidR="00730FA4" w:rsidRPr="006420C1" w:rsidRDefault="00730FA4" w:rsidP="00DE7165">
      <w:pPr>
        <w:pStyle w:val="Default"/>
        <w:spacing w:line="240" w:lineRule="atLeast"/>
        <w:rPr>
          <w:color w:val="auto"/>
          <w:sz w:val="18"/>
          <w:szCs w:val="18"/>
        </w:rPr>
      </w:pPr>
    </w:p>
    <w:p w:rsidR="004A58CD" w:rsidRPr="006420C1" w:rsidRDefault="004A58CD" w:rsidP="00DE7165">
      <w:pPr>
        <w:pStyle w:val="Default"/>
        <w:spacing w:line="240" w:lineRule="atLeast"/>
        <w:rPr>
          <w:i/>
          <w:color w:val="auto"/>
          <w:sz w:val="18"/>
          <w:szCs w:val="18"/>
        </w:rPr>
      </w:pPr>
    </w:p>
    <w:p w:rsidR="004A58CD" w:rsidRPr="006420C1" w:rsidRDefault="004A58CD" w:rsidP="00DE7165">
      <w:pPr>
        <w:pStyle w:val="Default"/>
        <w:spacing w:line="240" w:lineRule="atLeast"/>
        <w:rPr>
          <w:i/>
          <w:color w:val="auto"/>
          <w:sz w:val="18"/>
          <w:szCs w:val="18"/>
        </w:rPr>
      </w:pPr>
    </w:p>
    <w:p w:rsidR="00E56F87" w:rsidRPr="006420C1" w:rsidRDefault="00E56F87" w:rsidP="00DE7165">
      <w:pPr>
        <w:pStyle w:val="Default"/>
        <w:spacing w:line="240" w:lineRule="atLeast"/>
        <w:rPr>
          <w:i/>
          <w:color w:val="auto"/>
          <w:sz w:val="18"/>
          <w:szCs w:val="18"/>
        </w:rPr>
      </w:pPr>
      <w:r w:rsidRPr="006420C1">
        <w:rPr>
          <w:i/>
          <w:color w:val="auto"/>
          <w:sz w:val="18"/>
          <w:szCs w:val="18"/>
        </w:rPr>
        <w:t>Tabel II: Aantal banen bij de nulmeting</w:t>
      </w:r>
    </w:p>
    <w:p w:rsidR="00E56F87" w:rsidRPr="006420C1" w:rsidRDefault="00E56F87" w:rsidP="00DE7165">
      <w:pPr>
        <w:pStyle w:val="Default"/>
        <w:spacing w:line="240" w:lineRule="atLeast"/>
        <w:rPr>
          <w:color w:val="auto"/>
          <w:sz w:val="18"/>
          <w:szCs w:val="18"/>
        </w:rPr>
      </w:pPr>
    </w:p>
    <w:tbl>
      <w:tblPr>
        <w:tblW w:w="0" w:type="auto"/>
        <w:tblBorders>
          <w:insideH w:val="single" w:sz="18" w:space="0" w:color="FFFFFF"/>
          <w:insideV w:val="single" w:sz="18" w:space="0" w:color="FFFFFF"/>
        </w:tblBorders>
        <w:tblLook w:val="04A0"/>
      </w:tblPr>
      <w:tblGrid>
        <w:gridCol w:w="1912"/>
        <w:gridCol w:w="1913"/>
        <w:gridCol w:w="1913"/>
        <w:gridCol w:w="1913"/>
      </w:tblGrid>
      <w:tr w:rsidR="00730FA4" w:rsidRPr="006420C1" w:rsidTr="00520F35">
        <w:tc>
          <w:tcPr>
            <w:tcW w:w="1912" w:type="dxa"/>
            <w:shd w:val="pct20" w:color="000000" w:fill="FFFFFF"/>
          </w:tcPr>
          <w:p w:rsidR="00730FA4" w:rsidRPr="006420C1" w:rsidRDefault="005C323D" w:rsidP="00DE7165">
            <w:pPr>
              <w:pStyle w:val="Default"/>
              <w:spacing w:line="240" w:lineRule="atLeast"/>
              <w:rPr>
                <w:b/>
                <w:bCs/>
                <w:color w:val="auto"/>
                <w:sz w:val="18"/>
                <w:szCs w:val="18"/>
              </w:rPr>
            </w:pPr>
            <w:r w:rsidRPr="006420C1">
              <w:rPr>
                <w:b/>
                <w:bCs/>
                <w:color w:val="auto"/>
                <w:sz w:val="18"/>
                <w:szCs w:val="18"/>
              </w:rPr>
              <w:t>Nulmeting</w:t>
            </w:r>
          </w:p>
        </w:tc>
        <w:tc>
          <w:tcPr>
            <w:tcW w:w="1913" w:type="dxa"/>
            <w:shd w:val="pct20" w:color="000000" w:fill="FFFFFF"/>
          </w:tcPr>
          <w:p w:rsidR="00730FA4" w:rsidRPr="006420C1" w:rsidRDefault="005C323D" w:rsidP="00DE7165">
            <w:pPr>
              <w:pStyle w:val="Default"/>
              <w:spacing w:line="240" w:lineRule="atLeast"/>
              <w:rPr>
                <w:b/>
                <w:bCs/>
                <w:color w:val="auto"/>
                <w:sz w:val="18"/>
                <w:szCs w:val="18"/>
              </w:rPr>
            </w:pPr>
            <w:r w:rsidRPr="006420C1">
              <w:rPr>
                <w:b/>
                <w:bCs/>
                <w:color w:val="auto"/>
                <w:sz w:val="18"/>
                <w:szCs w:val="18"/>
              </w:rPr>
              <w:t>Aantal banen markt</w:t>
            </w:r>
          </w:p>
        </w:tc>
        <w:tc>
          <w:tcPr>
            <w:tcW w:w="1913" w:type="dxa"/>
            <w:shd w:val="pct20" w:color="000000" w:fill="FFFFFF"/>
          </w:tcPr>
          <w:p w:rsidR="00730FA4" w:rsidRPr="006420C1" w:rsidRDefault="005C323D" w:rsidP="00DE7165">
            <w:pPr>
              <w:pStyle w:val="Default"/>
              <w:spacing w:line="240" w:lineRule="atLeast"/>
              <w:rPr>
                <w:b/>
                <w:bCs/>
                <w:color w:val="auto"/>
                <w:sz w:val="18"/>
                <w:szCs w:val="18"/>
              </w:rPr>
            </w:pPr>
            <w:r w:rsidRPr="006420C1">
              <w:rPr>
                <w:b/>
                <w:bCs/>
                <w:color w:val="auto"/>
                <w:sz w:val="18"/>
                <w:szCs w:val="18"/>
              </w:rPr>
              <w:t>Aantal banen overheid</w:t>
            </w:r>
          </w:p>
        </w:tc>
        <w:tc>
          <w:tcPr>
            <w:tcW w:w="1913" w:type="dxa"/>
            <w:shd w:val="pct20" w:color="000000" w:fill="FFFFFF"/>
          </w:tcPr>
          <w:p w:rsidR="00730FA4" w:rsidRPr="006420C1" w:rsidRDefault="005C323D" w:rsidP="00DE7165">
            <w:pPr>
              <w:pStyle w:val="Default"/>
              <w:spacing w:line="240" w:lineRule="atLeast"/>
              <w:rPr>
                <w:b/>
                <w:bCs/>
                <w:color w:val="auto"/>
                <w:sz w:val="18"/>
                <w:szCs w:val="18"/>
              </w:rPr>
            </w:pPr>
            <w:r w:rsidRPr="006420C1">
              <w:rPr>
                <w:b/>
                <w:bCs/>
                <w:color w:val="auto"/>
                <w:sz w:val="18"/>
                <w:szCs w:val="18"/>
              </w:rPr>
              <w:t>Totaal aantal banen</w:t>
            </w:r>
          </w:p>
        </w:tc>
      </w:tr>
      <w:tr w:rsidR="00730FA4" w:rsidRPr="006420C1" w:rsidTr="00520F35">
        <w:tc>
          <w:tcPr>
            <w:tcW w:w="1912" w:type="dxa"/>
            <w:shd w:val="pct5" w:color="000000" w:fill="FFFFFF"/>
          </w:tcPr>
          <w:p w:rsidR="00730FA4" w:rsidRPr="006420C1" w:rsidRDefault="00FA543F" w:rsidP="007609FC">
            <w:pPr>
              <w:pStyle w:val="Default"/>
              <w:spacing w:line="240" w:lineRule="atLeast"/>
              <w:rPr>
                <w:color w:val="auto"/>
                <w:sz w:val="18"/>
                <w:szCs w:val="18"/>
              </w:rPr>
            </w:pPr>
            <w:r w:rsidRPr="006420C1">
              <w:rPr>
                <w:color w:val="auto"/>
                <w:sz w:val="18"/>
                <w:szCs w:val="18"/>
              </w:rPr>
              <w:t xml:space="preserve">Formele </w:t>
            </w:r>
            <w:r w:rsidR="007609FC">
              <w:rPr>
                <w:color w:val="auto"/>
                <w:sz w:val="18"/>
                <w:szCs w:val="18"/>
              </w:rPr>
              <w:t>dienstverbanden</w:t>
            </w:r>
          </w:p>
        </w:tc>
        <w:tc>
          <w:tcPr>
            <w:tcW w:w="1913" w:type="dxa"/>
            <w:shd w:val="pct5" w:color="000000" w:fill="FFFFFF"/>
          </w:tcPr>
          <w:p w:rsidR="00730FA4" w:rsidRPr="006420C1" w:rsidRDefault="008B75CF" w:rsidP="00DE7165">
            <w:pPr>
              <w:pStyle w:val="Default"/>
              <w:spacing w:line="240" w:lineRule="atLeast"/>
              <w:rPr>
                <w:color w:val="auto"/>
                <w:sz w:val="18"/>
                <w:szCs w:val="18"/>
              </w:rPr>
            </w:pPr>
            <w:r w:rsidRPr="006420C1">
              <w:rPr>
                <w:color w:val="auto"/>
                <w:sz w:val="18"/>
                <w:szCs w:val="18"/>
              </w:rPr>
              <w:t>33.840</w:t>
            </w:r>
          </w:p>
        </w:tc>
        <w:tc>
          <w:tcPr>
            <w:tcW w:w="1913" w:type="dxa"/>
            <w:shd w:val="pct5" w:color="000000" w:fill="FFFFFF"/>
          </w:tcPr>
          <w:p w:rsidR="00730FA4" w:rsidRPr="006420C1" w:rsidRDefault="008B75CF" w:rsidP="00DE7165">
            <w:pPr>
              <w:pStyle w:val="Default"/>
              <w:spacing w:line="240" w:lineRule="atLeast"/>
              <w:rPr>
                <w:color w:val="auto"/>
                <w:sz w:val="18"/>
                <w:szCs w:val="18"/>
              </w:rPr>
            </w:pPr>
            <w:r w:rsidRPr="006420C1">
              <w:rPr>
                <w:color w:val="auto"/>
                <w:sz w:val="18"/>
                <w:szCs w:val="18"/>
              </w:rPr>
              <w:t>5</w:t>
            </w:r>
            <w:r w:rsidR="009D5245" w:rsidRPr="006420C1">
              <w:rPr>
                <w:color w:val="auto"/>
                <w:sz w:val="18"/>
                <w:szCs w:val="18"/>
              </w:rPr>
              <w:t>.</w:t>
            </w:r>
            <w:r w:rsidRPr="006420C1">
              <w:rPr>
                <w:color w:val="auto"/>
                <w:sz w:val="18"/>
                <w:szCs w:val="18"/>
              </w:rPr>
              <w:t>134</w:t>
            </w:r>
          </w:p>
        </w:tc>
        <w:tc>
          <w:tcPr>
            <w:tcW w:w="1913" w:type="dxa"/>
            <w:shd w:val="pct5" w:color="000000" w:fill="FFFFFF"/>
          </w:tcPr>
          <w:p w:rsidR="00730FA4" w:rsidRPr="006420C1" w:rsidRDefault="008B75CF" w:rsidP="00DE7165">
            <w:pPr>
              <w:pStyle w:val="Default"/>
              <w:spacing w:line="240" w:lineRule="atLeast"/>
              <w:rPr>
                <w:color w:val="auto"/>
                <w:sz w:val="18"/>
                <w:szCs w:val="18"/>
              </w:rPr>
            </w:pPr>
            <w:r w:rsidRPr="006420C1">
              <w:rPr>
                <w:color w:val="auto"/>
                <w:sz w:val="18"/>
                <w:szCs w:val="18"/>
              </w:rPr>
              <w:t>38.973</w:t>
            </w:r>
          </w:p>
        </w:tc>
      </w:tr>
      <w:tr w:rsidR="00730FA4" w:rsidRPr="006420C1" w:rsidTr="00520F35">
        <w:tc>
          <w:tcPr>
            <w:tcW w:w="1912" w:type="dxa"/>
            <w:shd w:val="pct20" w:color="000000" w:fill="FFFFFF"/>
          </w:tcPr>
          <w:p w:rsidR="00730FA4" w:rsidRPr="006420C1" w:rsidRDefault="00FA543F" w:rsidP="00DE7165">
            <w:pPr>
              <w:pStyle w:val="Default"/>
              <w:spacing w:line="240" w:lineRule="atLeast"/>
              <w:rPr>
                <w:color w:val="auto"/>
                <w:sz w:val="18"/>
                <w:szCs w:val="18"/>
              </w:rPr>
            </w:pPr>
            <w:r w:rsidRPr="006420C1">
              <w:rPr>
                <w:color w:val="auto"/>
                <w:sz w:val="18"/>
                <w:szCs w:val="18"/>
              </w:rPr>
              <w:t>Inleenverbanden</w:t>
            </w:r>
            <w:r w:rsidR="007F0133" w:rsidRPr="006420C1">
              <w:rPr>
                <w:color w:val="auto"/>
                <w:sz w:val="18"/>
                <w:szCs w:val="18"/>
              </w:rPr>
              <w:t xml:space="preserve"> </w:t>
            </w:r>
            <w:r w:rsidR="00A96E20">
              <w:rPr>
                <w:color w:val="auto"/>
                <w:sz w:val="18"/>
                <w:szCs w:val="18"/>
              </w:rPr>
              <w:t xml:space="preserve">(Uitzendrelaties </w:t>
            </w:r>
            <w:r w:rsidR="007F0133" w:rsidRPr="006420C1">
              <w:rPr>
                <w:color w:val="auto"/>
                <w:sz w:val="18"/>
                <w:szCs w:val="18"/>
              </w:rPr>
              <w:t>en WSW-detacheringen</w:t>
            </w:r>
            <w:r w:rsidR="00A96E20">
              <w:rPr>
                <w:color w:val="auto"/>
                <w:sz w:val="18"/>
                <w:szCs w:val="18"/>
              </w:rPr>
              <w:t>)</w:t>
            </w:r>
          </w:p>
        </w:tc>
        <w:tc>
          <w:tcPr>
            <w:tcW w:w="1913" w:type="dxa"/>
            <w:shd w:val="pct20" w:color="000000" w:fill="FFFFFF"/>
          </w:tcPr>
          <w:p w:rsidR="00730FA4" w:rsidRPr="006420C1" w:rsidRDefault="008B75CF" w:rsidP="00DE7165">
            <w:pPr>
              <w:pStyle w:val="Default"/>
              <w:spacing w:line="240" w:lineRule="atLeast"/>
              <w:rPr>
                <w:color w:val="auto"/>
                <w:sz w:val="18"/>
                <w:szCs w:val="18"/>
              </w:rPr>
            </w:pPr>
            <w:r w:rsidRPr="006420C1">
              <w:rPr>
                <w:color w:val="auto"/>
                <w:sz w:val="18"/>
                <w:szCs w:val="18"/>
              </w:rPr>
              <w:t>27.516</w:t>
            </w:r>
          </w:p>
        </w:tc>
        <w:tc>
          <w:tcPr>
            <w:tcW w:w="1913" w:type="dxa"/>
            <w:shd w:val="pct20" w:color="000000" w:fill="FFFFFF"/>
          </w:tcPr>
          <w:p w:rsidR="00730FA4" w:rsidRPr="006420C1" w:rsidRDefault="008B75CF" w:rsidP="00DE7165">
            <w:pPr>
              <w:pStyle w:val="Default"/>
              <w:spacing w:line="240" w:lineRule="atLeast"/>
              <w:rPr>
                <w:color w:val="auto"/>
                <w:sz w:val="18"/>
                <w:szCs w:val="18"/>
              </w:rPr>
            </w:pPr>
            <w:r w:rsidRPr="006420C1">
              <w:rPr>
                <w:color w:val="auto"/>
                <w:sz w:val="18"/>
                <w:szCs w:val="18"/>
              </w:rPr>
              <w:t>8</w:t>
            </w:r>
            <w:r w:rsidR="009D5245" w:rsidRPr="006420C1">
              <w:rPr>
                <w:color w:val="auto"/>
                <w:sz w:val="18"/>
                <w:szCs w:val="18"/>
              </w:rPr>
              <w:t>.</w:t>
            </w:r>
            <w:r w:rsidRPr="006420C1">
              <w:rPr>
                <w:color w:val="auto"/>
                <w:sz w:val="18"/>
                <w:szCs w:val="18"/>
              </w:rPr>
              <w:t>689</w:t>
            </w:r>
          </w:p>
        </w:tc>
        <w:tc>
          <w:tcPr>
            <w:tcW w:w="1913" w:type="dxa"/>
            <w:shd w:val="pct20" w:color="000000" w:fill="FFFFFF"/>
          </w:tcPr>
          <w:p w:rsidR="00730FA4" w:rsidRPr="006420C1" w:rsidRDefault="008B75CF" w:rsidP="00DE7165">
            <w:pPr>
              <w:pStyle w:val="Default"/>
              <w:spacing w:line="240" w:lineRule="atLeast"/>
              <w:rPr>
                <w:color w:val="auto"/>
                <w:sz w:val="18"/>
                <w:szCs w:val="18"/>
              </w:rPr>
            </w:pPr>
            <w:r w:rsidRPr="006420C1">
              <w:rPr>
                <w:color w:val="auto"/>
                <w:sz w:val="18"/>
                <w:szCs w:val="18"/>
              </w:rPr>
              <w:t>36.206</w:t>
            </w:r>
          </w:p>
        </w:tc>
      </w:tr>
      <w:tr w:rsidR="00730FA4" w:rsidRPr="006420C1" w:rsidTr="00520F35">
        <w:tc>
          <w:tcPr>
            <w:tcW w:w="1912" w:type="dxa"/>
            <w:shd w:val="pct5" w:color="000000" w:fill="FFFFFF"/>
          </w:tcPr>
          <w:p w:rsidR="00730FA4" w:rsidRPr="006420C1" w:rsidRDefault="00FA543F" w:rsidP="00DE7165">
            <w:pPr>
              <w:pStyle w:val="Default"/>
              <w:spacing w:line="240" w:lineRule="atLeast"/>
              <w:rPr>
                <w:b/>
                <w:color w:val="auto"/>
                <w:sz w:val="18"/>
                <w:szCs w:val="18"/>
              </w:rPr>
            </w:pPr>
            <w:r w:rsidRPr="006420C1">
              <w:rPr>
                <w:b/>
                <w:color w:val="auto"/>
                <w:sz w:val="18"/>
                <w:szCs w:val="18"/>
              </w:rPr>
              <w:t>Totaal</w:t>
            </w:r>
          </w:p>
        </w:tc>
        <w:tc>
          <w:tcPr>
            <w:tcW w:w="1913" w:type="dxa"/>
            <w:shd w:val="pct5" w:color="000000" w:fill="FFFFFF"/>
          </w:tcPr>
          <w:p w:rsidR="00730FA4" w:rsidRPr="006420C1" w:rsidRDefault="008B75CF" w:rsidP="00DE7165">
            <w:pPr>
              <w:pStyle w:val="Default"/>
              <w:spacing w:line="240" w:lineRule="atLeast"/>
              <w:rPr>
                <w:b/>
                <w:color w:val="auto"/>
                <w:sz w:val="18"/>
                <w:szCs w:val="18"/>
              </w:rPr>
            </w:pPr>
            <w:r w:rsidRPr="006420C1">
              <w:rPr>
                <w:b/>
                <w:color w:val="auto"/>
                <w:sz w:val="18"/>
                <w:szCs w:val="18"/>
              </w:rPr>
              <w:t>61.356</w:t>
            </w:r>
          </w:p>
        </w:tc>
        <w:tc>
          <w:tcPr>
            <w:tcW w:w="1913" w:type="dxa"/>
            <w:shd w:val="pct5" w:color="000000" w:fill="FFFFFF"/>
          </w:tcPr>
          <w:p w:rsidR="00730FA4" w:rsidRPr="006420C1" w:rsidRDefault="008B75CF" w:rsidP="00DE7165">
            <w:pPr>
              <w:pStyle w:val="Default"/>
              <w:spacing w:line="240" w:lineRule="atLeast"/>
              <w:rPr>
                <w:b/>
                <w:color w:val="auto"/>
                <w:sz w:val="18"/>
                <w:szCs w:val="18"/>
              </w:rPr>
            </w:pPr>
            <w:r w:rsidRPr="006420C1">
              <w:rPr>
                <w:b/>
                <w:color w:val="auto"/>
                <w:sz w:val="18"/>
                <w:szCs w:val="18"/>
              </w:rPr>
              <w:t>13.823</w:t>
            </w:r>
          </w:p>
        </w:tc>
        <w:tc>
          <w:tcPr>
            <w:tcW w:w="1913" w:type="dxa"/>
            <w:shd w:val="pct5" w:color="000000" w:fill="FFFFFF"/>
          </w:tcPr>
          <w:p w:rsidR="00730FA4" w:rsidRPr="006420C1" w:rsidRDefault="008B75CF" w:rsidP="00DE7165">
            <w:pPr>
              <w:pStyle w:val="Default"/>
              <w:spacing w:line="240" w:lineRule="atLeast"/>
              <w:rPr>
                <w:b/>
                <w:color w:val="auto"/>
                <w:sz w:val="18"/>
                <w:szCs w:val="18"/>
              </w:rPr>
            </w:pPr>
            <w:r w:rsidRPr="006420C1">
              <w:rPr>
                <w:b/>
                <w:color w:val="auto"/>
                <w:sz w:val="18"/>
                <w:szCs w:val="18"/>
              </w:rPr>
              <w:t>75.179</w:t>
            </w:r>
          </w:p>
        </w:tc>
      </w:tr>
    </w:tbl>
    <w:p w:rsidR="00730FA4" w:rsidRPr="006420C1" w:rsidRDefault="00730FA4" w:rsidP="00DE7165">
      <w:pPr>
        <w:rPr>
          <w:iCs/>
          <w:szCs w:val="18"/>
        </w:rPr>
      </w:pPr>
    </w:p>
    <w:p w:rsidR="004A58CD" w:rsidRPr="006420C1" w:rsidRDefault="004A58CD" w:rsidP="00DE7165">
      <w:pPr>
        <w:rPr>
          <w:i/>
          <w:iCs/>
          <w:szCs w:val="18"/>
        </w:rPr>
      </w:pPr>
    </w:p>
    <w:p w:rsidR="004A58CD" w:rsidRPr="006420C1" w:rsidRDefault="004A58CD" w:rsidP="00DE7165">
      <w:pPr>
        <w:rPr>
          <w:i/>
          <w:iCs/>
          <w:szCs w:val="18"/>
        </w:rPr>
      </w:pPr>
    </w:p>
    <w:p w:rsidR="00E56F87" w:rsidRPr="006420C1" w:rsidRDefault="00E56F87" w:rsidP="00DE7165">
      <w:pPr>
        <w:rPr>
          <w:i/>
          <w:iCs/>
          <w:szCs w:val="18"/>
        </w:rPr>
      </w:pPr>
      <w:r w:rsidRPr="006420C1">
        <w:rPr>
          <w:i/>
          <w:iCs/>
          <w:szCs w:val="18"/>
        </w:rPr>
        <w:t xml:space="preserve">Tabel III: Aantal banen bij de </w:t>
      </w:r>
      <w:r w:rsidR="00154BF3" w:rsidRPr="006420C1">
        <w:rPr>
          <w:i/>
          <w:iCs/>
          <w:szCs w:val="18"/>
        </w:rPr>
        <w:t>één-meting</w:t>
      </w:r>
    </w:p>
    <w:p w:rsidR="00E56F87" w:rsidRPr="006420C1" w:rsidRDefault="00E56F87" w:rsidP="00DE7165">
      <w:pPr>
        <w:rPr>
          <w:iCs/>
          <w:szCs w:val="18"/>
        </w:rPr>
      </w:pPr>
    </w:p>
    <w:tbl>
      <w:tblPr>
        <w:tblW w:w="0" w:type="auto"/>
        <w:tblBorders>
          <w:insideH w:val="single" w:sz="18" w:space="0" w:color="FFFFFF"/>
          <w:insideV w:val="single" w:sz="18" w:space="0" w:color="FFFFFF"/>
        </w:tblBorders>
        <w:tblLook w:val="04A0"/>
      </w:tblPr>
      <w:tblGrid>
        <w:gridCol w:w="1912"/>
        <w:gridCol w:w="1913"/>
        <w:gridCol w:w="1913"/>
        <w:gridCol w:w="1913"/>
      </w:tblGrid>
      <w:tr w:rsidR="00730FA4" w:rsidRPr="006420C1" w:rsidTr="00520F35">
        <w:tc>
          <w:tcPr>
            <w:tcW w:w="1912" w:type="dxa"/>
            <w:shd w:val="pct20" w:color="000000" w:fill="FFFFFF"/>
          </w:tcPr>
          <w:p w:rsidR="00730FA4" w:rsidRPr="006420C1" w:rsidRDefault="005C323D" w:rsidP="00DE7165">
            <w:pPr>
              <w:pStyle w:val="Default"/>
              <w:spacing w:line="240" w:lineRule="atLeast"/>
              <w:rPr>
                <w:rFonts w:cs="Arial"/>
                <w:b/>
                <w:bCs/>
                <w:color w:val="auto"/>
                <w:sz w:val="18"/>
                <w:szCs w:val="18"/>
              </w:rPr>
            </w:pPr>
            <w:r w:rsidRPr="006420C1">
              <w:rPr>
                <w:b/>
                <w:bCs/>
                <w:color w:val="auto"/>
                <w:sz w:val="18"/>
                <w:szCs w:val="18"/>
              </w:rPr>
              <w:t>Eénmeting</w:t>
            </w:r>
          </w:p>
        </w:tc>
        <w:tc>
          <w:tcPr>
            <w:tcW w:w="1913" w:type="dxa"/>
            <w:shd w:val="pct20" w:color="000000" w:fill="FFFFFF"/>
          </w:tcPr>
          <w:p w:rsidR="00730FA4" w:rsidRPr="006420C1" w:rsidRDefault="005C323D" w:rsidP="00DE7165">
            <w:pPr>
              <w:pStyle w:val="Default"/>
              <w:spacing w:line="240" w:lineRule="atLeast"/>
              <w:rPr>
                <w:b/>
                <w:bCs/>
                <w:color w:val="auto"/>
                <w:sz w:val="18"/>
                <w:szCs w:val="18"/>
              </w:rPr>
            </w:pPr>
            <w:r w:rsidRPr="006420C1">
              <w:rPr>
                <w:b/>
                <w:bCs/>
                <w:color w:val="auto"/>
                <w:sz w:val="18"/>
                <w:szCs w:val="18"/>
              </w:rPr>
              <w:t>Aantal banen markt</w:t>
            </w:r>
          </w:p>
        </w:tc>
        <w:tc>
          <w:tcPr>
            <w:tcW w:w="1913" w:type="dxa"/>
            <w:shd w:val="pct20" w:color="000000" w:fill="FFFFFF"/>
          </w:tcPr>
          <w:p w:rsidR="00730FA4" w:rsidRPr="006420C1" w:rsidRDefault="005C323D" w:rsidP="00DE7165">
            <w:pPr>
              <w:pStyle w:val="Default"/>
              <w:spacing w:line="240" w:lineRule="atLeast"/>
              <w:rPr>
                <w:b/>
                <w:bCs/>
                <w:color w:val="auto"/>
                <w:sz w:val="18"/>
                <w:szCs w:val="18"/>
              </w:rPr>
            </w:pPr>
            <w:r w:rsidRPr="006420C1">
              <w:rPr>
                <w:b/>
                <w:bCs/>
                <w:color w:val="auto"/>
                <w:sz w:val="18"/>
                <w:szCs w:val="18"/>
              </w:rPr>
              <w:t>Aantal banen overheid</w:t>
            </w:r>
          </w:p>
        </w:tc>
        <w:tc>
          <w:tcPr>
            <w:tcW w:w="1913" w:type="dxa"/>
            <w:shd w:val="pct20" w:color="000000" w:fill="FFFFFF"/>
          </w:tcPr>
          <w:p w:rsidR="00730FA4" w:rsidRPr="006420C1" w:rsidRDefault="005C323D" w:rsidP="00DE7165">
            <w:pPr>
              <w:pStyle w:val="Default"/>
              <w:spacing w:line="240" w:lineRule="atLeast"/>
              <w:rPr>
                <w:b/>
                <w:bCs/>
                <w:color w:val="auto"/>
                <w:sz w:val="18"/>
                <w:szCs w:val="18"/>
              </w:rPr>
            </w:pPr>
            <w:r w:rsidRPr="006420C1">
              <w:rPr>
                <w:b/>
                <w:bCs/>
                <w:color w:val="auto"/>
                <w:sz w:val="18"/>
                <w:szCs w:val="18"/>
              </w:rPr>
              <w:t>Totaal aantal banen</w:t>
            </w:r>
          </w:p>
        </w:tc>
      </w:tr>
      <w:tr w:rsidR="00730FA4" w:rsidRPr="006420C1" w:rsidTr="00520F35">
        <w:tc>
          <w:tcPr>
            <w:tcW w:w="1912" w:type="dxa"/>
            <w:shd w:val="pct5" w:color="000000" w:fill="FFFFFF"/>
          </w:tcPr>
          <w:p w:rsidR="00730FA4" w:rsidRPr="006420C1" w:rsidRDefault="00FA543F" w:rsidP="007609FC">
            <w:pPr>
              <w:pStyle w:val="Default"/>
              <w:spacing w:line="240" w:lineRule="atLeast"/>
              <w:rPr>
                <w:color w:val="auto"/>
                <w:sz w:val="18"/>
                <w:szCs w:val="18"/>
              </w:rPr>
            </w:pPr>
            <w:r w:rsidRPr="006420C1">
              <w:rPr>
                <w:color w:val="auto"/>
                <w:sz w:val="18"/>
                <w:szCs w:val="18"/>
              </w:rPr>
              <w:t>Formele</w:t>
            </w:r>
            <w:r w:rsidR="007609FC">
              <w:rPr>
                <w:color w:val="auto"/>
                <w:sz w:val="18"/>
                <w:szCs w:val="18"/>
              </w:rPr>
              <w:t xml:space="preserve"> dienstverbanden</w:t>
            </w:r>
          </w:p>
        </w:tc>
        <w:tc>
          <w:tcPr>
            <w:tcW w:w="1913" w:type="dxa"/>
            <w:shd w:val="pct5" w:color="000000" w:fill="FFFFFF"/>
          </w:tcPr>
          <w:p w:rsidR="00730FA4" w:rsidRPr="006420C1" w:rsidRDefault="009B5CC8" w:rsidP="009D5245">
            <w:pPr>
              <w:pStyle w:val="Default"/>
              <w:spacing w:line="240" w:lineRule="atLeast"/>
              <w:rPr>
                <w:color w:val="auto"/>
                <w:sz w:val="18"/>
                <w:szCs w:val="18"/>
              </w:rPr>
            </w:pPr>
            <w:r w:rsidRPr="006420C1">
              <w:rPr>
                <w:color w:val="auto"/>
                <w:sz w:val="18"/>
                <w:szCs w:val="18"/>
              </w:rPr>
              <w:t>4</w:t>
            </w:r>
            <w:r w:rsidR="009D5245" w:rsidRPr="006420C1">
              <w:rPr>
                <w:color w:val="auto"/>
                <w:sz w:val="18"/>
                <w:szCs w:val="18"/>
              </w:rPr>
              <w:t>3.604</w:t>
            </w:r>
          </w:p>
        </w:tc>
        <w:tc>
          <w:tcPr>
            <w:tcW w:w="1913" w:type="dxa"/>
            <w:shd w:val="pct5" w:color="000000" w:fill="FFFFFF"/>
          </w:tcPr>
          <w:p w:rsidR="00730FA4" w:rsidRPr="006420C1" w:rsidRDefault="009B5CC8" w:rsidP="00DE7165">
            <w:pPr>
              <w:pStyle w:val="Default"/>
              <w:spacing w:line="240" w:lineRule="atLeast"/>
              <w:rPr>
                <w:color w:val="auto"/>
                <w:sz w:val="18"/>
                <w:szCs w:val="18"/>
              </w:rPr>
            </w:pPr>
            <w:r w:rsidRPr="006420C1">
              <w:rPr>
                <w:color w:val="auto"/>
                <w:sz w:val="18"/>
                <w:szCs w:val="18"/>
              </w:rPr>
              <w:t>4</w:t>
            </w:r>
            <w:r w:rsidR="00106C5B" w:rsidRPr="006420C1">
              <w:rPr>
                <w:color w:val="auto"/>
                <w:sz w:val="18"/>
                <w:szCs w:val="18"/>
              </w:rPr>
              <w:t>.</w:t>
            </w:r>
            <w:r w:rsidRPr="006420C1">
              <w:rPr>
                <w:color w:val="auto"/>
                <w:sz w:val="18"/>
                <w:szCs w:val="18"/>
              </w:rPr>
              <w:t>149</w:t>
            </w:r>
          </w:p>
        </w:tc>
        <w:tc>
          <w:tcPr>
            <w:tcW w:w="1913" w:type="dxa"/>
            <w:shd w:val="pct5" w:color="000000" w:fill="FFFFFF"/>
          </w:tcPr>
          <w:p w:rsidR="00730FA4" w:rsidRPr="006420C1" w:rsidRDefault="009B5CC8" w:rsidP="00DE7165">
            <w:pPr>
              <w:pStyle w:val="Default"/>
              <w:spacing w:line="240" w:lineRule="atLeast"/>
              <w:rPr>
                <w:color w:val="auto"/>
                <w:sz w:val="18"/>
                <w:szCs w:val="18"/>
              </w:rPr>
            </w:pPr>
            <w:r w:rsidRPr="006420C1">
              <w:rPr>
                <w:color w:val="auto"/>
                <w:sz w:val="18"/>
                <w:szCs w:val="18"/>
              </w:rPr>
              <w:t>4</w:t>
            </w:r>
            <w:r w:rsidR="00106C5B" w:rsidRPr="006420C1">
              <w:rPr>
                <w:color w:val="auto"/>
                <w:sz w:val="18"/>
                <w:szCs w:val="18"/>
              </w:rPr>
              <w:t>7.753</w:t>
            </w:r>
          </w:p>
        </w:tc>
      </w:tr>
      <w:tr w:rsidR="00730FA4" w:rsidRPr="006420C1" w:rsidTr="00520F35">
        <w:tc>
          <w:tcPr>
            <w:tcW w:w="1912" w:type="dxa"/>
            <w:shd w:val="pct20" w:color="000000" w:fill="FFFFFF"/>
          </w:tcPr>
          <w:p w:rsidR="00730FA4" w:rsidRPr="006420C1" w:rsidRDefault="00FA543F" w:rsidP="00DE7165">
            <w:pPr>
              <w:pStyle w:val="Default"/>
              <w:spacing w:line="240" w:lineRule="atLeast"/>
              <w:rPr>
                <w:color w:val="auto"/>
                <w:sz w:val="18"/>
                <w:szCs w:val="18"/>
              </w:rPr>
            </w:pPr>
            <w:r w:rsidRPr="006420C1">
              <w:rPr>
                <w:color w:val="auto"/>
                <w:sz w:val="18"/>
                <w:szCs w:val="18"/>
              </w:rPr>
              <w:t>Inleenverbanden</w:t>
            </w:r>
            <w:r w:rsidR="007F0133" w:rsidRPr="006420C1">
              <w:rPr>
                <w:color w:val="auto"/>
                <w:sz w:val="18"/>
                <w:szCs w:val="18"/>
              </w:rPr>
              <w:t xml:space="preserve"> </w:t>
            </w:r>
            <w:r w:rsidR="00A96E20">
              <w:rPr>
                <w:color w:val="auto"/>
                <w:sz w:val="18"/>
                <w:szCs w:val="18"/>
              </w:rPr>
              <w:t xml:space="preserve">(Uitzendrelaties </w:t>
            </w:r>
            <w:r w:rsidR="007F0133" w:rsidRPr="006420C1">
              <w:rPr>
                <w:color w:val="auto"/>
                <w:sz w:val="18"/>
                <w:szCs w:val="18"/>
              </w:rPr>
              <w:t>en WSW-detacheringen</w:t>
            </w:r>
            <w:r w:rsidR="00A96E20">
              <w:rPr>
                <w:color w:val="auto"/>
                <w:sz w:val="18"/>
                <w:szCs w:val="18"/>
              </w:rPr>
              <w:t>)</w:t>
            </w:r>
          </w:p>
        </w:tc>
        <w:tc>
          <w:tcPr>
            <w:tcW w:w="1913" w:type="dxa"/>
            <w:shd w:val="pct20" w:color="000000" w:fill="FFFFFF"/>
          </w:tcPr>
          <w:p w:rsidR="00730FA4" w:rsidRPr="006420C1" w:rsidRDefault="009B5CC8" w:rsidP="00106C5B">
            <w:pPr>
              <w:pStyle w:val="Default"/>
              <w:spacing w:line="240" w:lineRule="atLeast"/>
              <w:rPr>
                <w:color w:val="auto"/>
                <w:sz w:val="18"/>
                <w:szCs w:val="18"/>
              </w:rPr>
            </w:pPr>
            <w:r w:rsidRPr="006420C1">
              <w:rPr>
                <w:color w:val="auto"/>
                <w:sz w:val="18"/>
                <w:szCs w:val="18"/>
              </w:rPr>
              <w:t>33.</w:t>
            </w:r>
            <w:r w:rsidR="00106C5B" w:rsidRPr="006420C1">
              <w:rPr>
                <w:color w:val="auto"/>
                <w:sz w:val="18"/>
                <w:szCs w:val="18"/>
              </w:rPr>
              <w:t>357</w:t>
            </w:r>
          </w:p>
        </w:tc>
        <w:tc>
          <w:tcPr>
            <w:tcW w:w="1913" w:type="dxa"/>
            <w:shd w:val="pct20" w:color="000000" w:fill="FFFFFF"/>
          </w:tcPr>
          <w:p w:rsidR="00730FA4" w:rsidRPr="006420C1" w:rsidRDefault="009B5CC8" w:rsidP="00106C5B">
            <w:pPr>
              <w:pStyle w:val="Default"/>
              <w:spacing w:line="240" w:lineRule="atLeast"/>
              <w:rPr>
                <w:color w:val="auto"/>
                <w:sz w:val="18"/>
                <w:szCs w:val="18"/>
              </w:rPr>
            </w:pPr>
            <w:r w:rsidRPr="006420C1">
              <w:rPr>
                <w:color w:val="auto"/>
                <w:sz w:val="18"/>
                <w:szCs w:val="18"/>
              </w:rPr>
              <w:t>15.</w:t>
            </w:r>
            <w:r w:rsidR="00106C5B" w:rsidRPr="006420C1">
              <w:rPr>
                <w:color w:val="auto"/>
                <w:sz w:val="18"/>
                <w:szCs w:val="18"/>
              </w:rPr>
              <w:t>127</w:t>
            </w:r>
          </w:p>
        </w:tc>
        <w:tc>
          <w:tcPr>
            <w:tcW w:w="1913" w:type="dxa"/>
            <w:shd w:val="pct20" w:color="000000" w:fill="FFFFFF"/>
          </w:tcPr>
          <w:p w:rsidR="00730FA4" w:rsidRPr="006420C1" w:rsidRDefault="009B5CC8" w:rsidP="00106C5B">
            <w:pPr>
              <w:pStyle w:val="Default"/>
              <w:spacing w:line="240" w:lineRule="atLeast"/>
              <w:rPr>
                <w:color w:val="auto"/>
                <w:sz w:val="18"/>
                <w:szCs w:val="18"/>
              </w:rPr>
            </w:pPr>
            <w:r w:rsidRPr="006420C1">
              <w:rPr>
                <w:color w:val="auto"/>
                <w:sz w:val="18"/>
                <w:szCs w:val="18"/>
              </w:rPr>
              <w:t>48.</w:t>
            </w:r>
            <w:r w:rsidR="00106C5B" w:rsidRPr="006420C1">
              <w:rPr>
                <w:color w:val="auto"/>
                <w:sz w:val="18"/>
                <w:szCs w:val="18"/>
              </w:rPr>
              <w:t>483</w:t>
            </w:r>
          </w:p>
        </w:tc>
      </w:tr>
      <w:tr w:rsidR="00730FA4" w:rsidRPr="006420C1" w:rsidTr="00520F35">
        <w:tc>
          <w:tcPr>
            <w:tcW w:w="1912" w:type="dxa"/>
            <w:shd w:val="pct5" w:color="000000" w:fill="FFFFFF"/>
          </w:tcPr>
          <w:p w:rsidR="00730FA4" w:rsidRPr="006420C1" w:rsidRDefault="00FA543F" w:rsidP="00DE7165">
            <w:pPr>
              <w:pStyle w:val="Default"/>
              <w:spacing w:line="240" w:lineRule="atLeast"/>
              <w:rPr>
                <w:b/>
                <w:color w:val="auto"/>
                <w:sz w:val="18"/>
                <w:szCs w:val="18"/>
              </w:rPr>
            </w:pPr>
            <w:r w:rsidRPr="006420C1">
              <w:rPr>
                <w:b/>
                <w:color w:val="auto"/>
                <w:sz w:val="18"/>
                <w:szCs w:val="18"/>
              </w:rPr>
              <w:t>Totaal</w:t>
            </w:r>
          </w:p>
        </w:tc>
        <w:tc>
          <w:tcPr>
            <w:tcW w:w="1913" w:type="dxa"/>
            <w:shd w:val="pct5" w:color="000000" w:fill="FFFFFF"/>
          </w:tcPr>
          <w:p w:rsidR="00730FA4" w:rsidRPr="006420C1" w:rsidRDefault="00106C5B" w:rsidP="00DE7165">
            <w:pPr>
              <w:pStyle w:val="Default"/>
              <w:spacing w:line="240" w:lineRule="atLeast"/>
              <w:rPr>
                <w:b/>
                <w:color w:val="auto"/>
                <w:sz w:val="18"/>
                <w:szCs w:val="18"/>
              </w:rPr>
            </w:pPr>
            <w:r w:rsidRPr="006420C1">
              <w:rPr>
                <w:b/>
                <w:color w:val="auto"/>
                <w:sz w:val="18"/>
                <w:szCs w:val="18"/>
              </w:rPr>
              <w:t>76.960</w:t>
            </w:r>
          </w:p>
        </w:tc>
        <w:tc>
          <w:tcPr>
            <w:tcW w:w="1913" w:type="dxa"/>
            <w:shd w:val="pct5" w:color="000000" w:fill="FFFFFF"/>
          </w:tcPr>
          <w:p w:rsidR="00730FA4" w:rsidRPr="006420C1" w:rsidRDefault="009B5CC8" w:rsidP="00DE7165">
            <w:pPr>
              <w:pStyle w:val="Default"/>
              <w:spacing w:line="240" w:lineRule="atLeast"/>
              <w:rPr>
                <w:b/>
                <w:color w:val="auto"/>
                <w:sz w:val="18"/>
                <w:szCs w:val="18"/>
              </w:rPr>
            </w:pPr>
            <w:r w:rsidRPr="006420C1">
              <w:rPr>
                <w:b/>
                <w:color w:val="auto"/>
                <w:sz w:val="18"/>
                <w:szCs w:val="18"/>
              </w:rPr>
              <w:t>19.</w:t>
            </w:r>
            <w:r w:rsidR="00106C5B" w:rsidRPr="006420C1">
              <w:rPr>
                <w:b/>
                <w:color w:val="auto"/>
                <w:sz w:val="18"/>
                <w:szCs w:val="18"/>
              </w:rPr>
              <w:t>276</w:t>
            </w:r>
          </w:p>
        </w:tc>
        <w:tc>
          <w:tcPr>
            <w:tcW w:w="1913" w:type="dxa"/>
            <w:shd w:val="pct5" w:color="000000" w:fill="FFFFFF"/>
          </w:tcPr>
          <w:p w:rsidR="00730FA4" w:rsidRPr="006420C1" w:rsidRDefault="009B5CC8" w:rsidP="00DE7165">
            <w:pPr>
              <w:pStyle w:val="Default"/>
              <w:spacing w:line="240" w:lineRule="atLeast"/>
              <w:rPr>
                <w:b/>
                <w:color w:val="auto"/>
                <w:sz w:val="18"/>
                <w:szCs w:val="18"/>
              </w:rPr>
            </w:pPr>
            <w:r w:rsidRPr="006420C1">
              <w:rPr>
                <w:b/>
                <w:color w:val="auto"/>
                <w:sz w:val="18"/>
                <w:szCs w:val="18"/>
              </w:rPr>
              <w:t>9</w:t>
            </w:r>
            <w:r w:rsidR="00106C5B" w:rsidRPr="006420C1">
              <w:rPr>
                <w:b/>
                <w:color w:val="auto"/>
                <w:sz w:val="18"/>
                <w:szCs w:val="18"/>
              </w:rPr>
              <w:t>6.236</w:t>
            </w:r>
          </w:p>
        </w:tc>
      </w:tr>
    </w:tbl>
    <w:p w:rsidR="00730FA4" w:rsidRPr="006420C1" w:rsidRDefault="00730FA4" w:rsidP="00DE7165">
      <w:pPr>
        <w:rPr>
          <w:iCs/>
          <w:szCs w:val="18"/>
        </w:rPr>
      </w:pPr>
    </w:p>
    <w:p w:rsidR="00730FA4" w:rsidRDefault="00730FA4" w:rsidP="00DE7165">
      <w:pPr>
        <w:rPr>
          <w:szCs w:val="18"/>
        </w:rPr>
      </w:pPr>
      <w:r w:rsidRPr="006420C1">
        <w:rPr>
          <w:szCs w:val="18"/>
        </w:rPr>
        <w:t> </w:t>
      </w:r>
    </w:p>
    <w:p w:rsidR="00BA2810" w:rsidRDefault="008E6169" w:rsidP="00BA2810">
      <w:pPr>
        <w:pStyle w:val="Default"/>
        <w:spacing w:line="240" w:lineRule="atLeast"/>
        <w:rPr>
          <w:i/>
          <w:sz w:val="18"/>
          <w:szCs w:val="18"/>
        </w:rPr>
      </w:pPr>
      <w:r>
        <w:rPr>
          <w:i/>
          <w:sz w:val="18"/>
          <w:szCs w:val="18"/>
        </w:rPr>
        <w:br w:type="page"/>
      </w:r>
      <w:r w:rsidR="00BA2810" w:rsidRPr="006420C1">
        <w:rPr>
          <w:i/>
          <w:sz w:val="18"/>
          <w:szCs w:val="18"/>
        </w:rPr>
        <w:lastRenderedPageBreak/>
        <w:t xml:space="preserve">Tabel </w:t>
      </w:r>
      <w:r w:rsidR="00BA2810">
        <w:rPr>
          <w:i/>
          <w:sz w:val="18"/>
          <w:szCs w:val="18"/>
        </w:rPr>
        <w:t>IV</w:t>
      </w:r>
      <w:r w:rsidR="00BA2810" w:rsidRPr="006420C1">
        <w:rPr>
          <w:i/>
          <w:sz w:val="18"/>
          <w:szCs w:val="18"/>
        </w:rPr>
        <w:t>: Toename één-meting ten opzichte van nulmeting</w:t>
      </w:r>
    </w:p>
    <w:p w:rsidR="00CF1577" w:rsidRPr="006420C1" w:rsidRDefault="00CF1577" w:rsidP="00BA2810">
      <w:pPr>
        <w:pStyle w:val="Default"/>
        <w:spacing w:line="240" w:lineRule="atLeas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268"/>
        <w:gridCol w:w="1701"/>
      </w:tblGrid>
      <w:tr w:rsidR="00BA2810" w:rsidRPr="006420C1" w:rsidTr="00CF519B">
        <w:tc>
          <w:tcPr>
            <w:tcW w:w="3227" w:type="dxa"/>
            <w:tcBorders>
              <w:top w:val="single" w:sz="4" w:space="0" w:color="auto"/>
              <w:left w:val="single" w:sz="4" w:space="0" w:color="auto"/>
              <w:bottom w:val="single" w:sz="4" w:space="0" w:color="auto"/>
              <w:right w:val="single" w:sz="4" w:space="0" w:color="auto"/>
            </w:tcBorders>
          </w:tcPr>
          <w:p w:rsidR="00BA2810" w:rsidRPr="006420C1" w:rsidRDefault="00BA2810" w:rsidP="00CF519B">
            <w:pPr>
              <w:pStyle w:val="Default"/>
              <w:spacing w:line="240" w:lineRule="atLeast"/>
              <w:rPr>
                <w:sz w:val="16"/>
                <w:szCs w:val="16"/>
              </w:rPr>
            </w:pPr>
          </w:p>
        </w:tc>
        <w:tc>
          <w:tcPr>
            <w:tcW w:w="2268"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Toename aantal personen met een baan</w:t>
            </w:r>
          </w:p>
        </w:tc>
        <w:tc>
          <w:tcPr>
            <w:tcW w:w="1701"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Toename aantal banen</w:t>
            </w:r>
            <w:r w:rsidRPr="006420C1">
              <w:rPr>
                <w:rStyle w:val="Voetnootmarkering"/>
                <w:sz w:val="16"/>
                <w:szCs w:val="16"/>
              </w:rPr>
              <w:footnoteReference w:id="5"/>
            </w:r>
            <w:r w:rsidRPr="006420C1">
              <w:rPr>
                <w:sz w:val="16"/>
                <w:szCs w:val="16"/>
              </w:rPr>
              <w:t xml:space="preserve"> </w:t>
            </w:r>
          </w:p>
        </w:tc>
      </w:tr>
      <w:tr w:rsidR="00BA2810" w:rsidRPr="006420C1" w:rsidTr="00CF519B">
        <w:tc>
          <w:tcPr>
            <w:tcW w:w="3227"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spacing w:line="240" w:lineRule="atLeast"/>
              <w:rPr>
                <w:sz w:val="16"/>
                <w:szCs w:val="16"/>
              </w:rPr>
            </w:pPr>
            <w:r w:rsidRPr="006420C1">
              <w:rPr>
                <w:sz w:val="16"/>
                <w:szCs w:val="16"/>
              </w:rPr>
              <w:t>Doelgroep Participatiewet</w:t>
            </w:r>
          </w:p>
        </w:tc>
        <w:tc>
          <w:tcPr>
            <w:tcW w:w="2268"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3.848</w:t>
            </w:r>
          </w:p>
        </w:tc>
        <w:tc>
          <w:tcPr>
            <w:tcW w:w="1701"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3.489</w:t>
            </w:r>
          </w:p>
        </w:tc>
      </w:tr>
      <w:tr w:rsidR="00BA2810" w:rsidRPr="006420C1" w:rsidTr="00CF519B">
        <w:tc>
          <w:tcPr>
            <w:tcW w:w="3227"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spacing w:line="240" w:lineRule="atLeast"/>
              <w:rPr>
                <w:sz w:val="16"/>
                <w:szCs w:val="16"/>
              </w:rPr>
            </w:pPr>
            <w:r w:rsidRPr="006420C1">
              <w:rPr>
                <w:sz w:val="16"/>
                <w:szCs w:val="16"/>
              </w:rPr>
              <w:t>Wajong</w:t>
            </w:r>
            <w:r w:rsidRPr="006420C1">
              <w:rPr>
                <w:rStyle w:val="Voetnootmarkering"/>
                <w:sz w:val="16"/>
                <w:szCs w:val="16"/>
              </w:rPr>
              <w:footnoteReference w:id="6"/>
            </w:r>
          </w:p>
        </w:tc>
        <w:tc>
          <w:tcPr>
            <w:tcW w:w="2268"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5.443</w:t>
            </w:r>
          </w:p>
        </w:tc>
        <w:tc>
          <w:tcPr>
            <w:tcW w:w="1701"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9.011</w:t>
            </w:r>
          </w:p>
        </w:tc>
      </w:tr>
      <w:tr w:rsidR="00BA2810" w:rsidRPr="006420C1" w:rsidTr="00CF519B">
        <w:tc>
          <w:tcPr>
            <w:tcW w:w="3227"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spacing w:line="240" w:lineRule="atLeast"/>
              <w:rPr>
                <w:sz w:val="16"/>
                <w:szCs w:val="16"/>
              </w:rPr>
            </w:pPr>
            <w:r w:rsidRPr="006420C1">
              <w:rPr>
                <w:sz w:val="16"/>
                <w:szCs w:val="16"/>
              </w:rPr>
              <w:t>Wsw-wachtlijst</w:t>
            </w:r>
            <w:r w:rsidRPr="006420C1">
              <w:rPr>
                <w:rStyle w:val="Voetnootmarkering"/>
                <w:sz w:val="16"/>
                <w:szCs w:val="16"/>
              </w:rPr>
              <w:footnoteReference w:id="7"/>
            </w:r>
            <w:r w:rsidRPr="006420C1">
              <w:rPr>
                <w:sz w:val="16"/>
                <w:szCs w:val="16"/>
              </w:rPr>
              <w:t xml:space="preserve"> en Wsw-indicatie</w:t>
            </w:r>
            <w:r w:rsidRPr="006420C1">
              <w:rPr>
                <w:rStyle w:val="Voetnootmarkering"/>
                <w:sz w:val="16"/>
                <w:szCs w:val="16"/>
              </w:rPr>
              <w:footnoteReference w:id="8"/>
            </w:r>
            <w:r w:rsidRPr="006420C1">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-1.087</w:t>
            </w:r>
          </w:p>
        </w:tc>
        <w:tc>
          <w:tcPr>
            <w:tcW w:w="1701"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-1.025</w:t>
            </w:r>
          </w:p>
        </w:tc>
      </w:tr>
      <w:tr w:rsidR="00BA2810" w:rsidRPr="006420C1" w:rsidTr="00CF519B">
        <w:tc>
          <w:tcPr>
            <w:tcW w:w="3227"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spacing w:line="240" w:lineRule="atLeast"/>
              <w:rPr>
                <w:sz w:val="16"/>
                <w:szCs w:val="16"/>
              </w:rPr>
            </w:pPr>
            <w:r w:rsidRPr="006420C1">
              <w:rPr>
                <w:sz w:val="16"/>
                <w:szCs w:val="16"/>
              </w:rPr>
              <w:t>Wsw-begeleid werk</w:t>
            </w:r>
          </w:p>
        </w:tc>
        <w:tc>
          <w:tcPr>
            <w:tcW w:w="2268"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-72</w:t>
            </w:r>
          </w:p>
        </w:tc>
        <w:tc>
          <w:tcPr>
            <w:tcW w:w="1701"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244</w:t>
            </w:r>
          </w:p>
        </w:tc>
      </w:tr>
      <w:tr w:rsidR="00BA2810" w:rsidRPr="006420C1" w:rsidTr="00CF519B">
        <w:tc>
          <w:tcPr>
            <w:tcW w:w="3227"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spacing w:line="240" w:lineRule="atLeast"/>
              <w:rPr>
                <w:sz w:val="16"/>
                <w:szCs w:val="16"/>
              </w:rPr>
            </w:pPr>
            <w:r w:rsidRPr="006420C1">
              <w:rPr>
                <w:sz w:val="16"/>
                <w:szCs w:val="16"/>
              </w:rPr>
              <w:t xml:space="preserve">WIW/ID </w:t>
            </w:r>
          </w:p>
        </w:tc>
        <w:tc>
          <w:tcPr>
            <w:tcW w:w="2268"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-2.245</w:t>
            </w:r>
          </w:p>
        </w:tc>
        <w:tc>
          <w:tcPr>
            <w:tcW w:w="1701"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-2.939</w:t>
            </w:r>
          </w:p>
        </w:tc>
      </w:tr>
      <w:tr w:rsidR="00BA2810" w:rsidRPr="006420C1" w:rsidTr="00CF519B">
        <w:tc>
          <w:tcPr>
            <w:tcW w:w="3227"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spacing w:line="240" w:lineRule="atLeast"/>
              <w:rPr>
                <w:b/>
                <w:sz w:val="16"/>
                <w:szCs w:val="16"/>
              </w:rPr>
            </w:pPr>
            <w:r w:rsidRPr="006420C1">
              <w:rPr>
                <w:b/>
                <w:sz w:val="16"/>
                <w:szCs w:val="16"/>
              </w:rPr>
              <w:t>Totaal formele dienstverbanden</w:t>
            </w:r>
          </w:p>
        </w:tc>
        <w:tc>
          <w:tcPr>
            <w:tcW w:w="2268"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b/>
                <w:sz w:val="16"/>
                <w:szCs w:val="16"/>
              </w:rPr>
            </w:pPr>
            <w:r w:rsidRPr="006420C1">
              <w:rPr>
                <w:b/>
                <w:sz w:val="16"/>
                <w:szCs w:val="16"/>
              </w:rPr>
              <w:t>5.887</w:t>
            </w:r>
          </w:p>
        </w:tc>
        <w:tc>
          <w:tcPr>
            <w:tcW w:w="1701"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b/>
                <w:sz w:val="16"/>
                <w:szCs w:val="16"/>
              </w:rPr>
            </w:pPr>
            <w:r w:rsidRPr="006420C1">
              <w:rPr>
                <w:b/>
                <w:sz w:val="16"/>
                <w:szCs w:val="16"/>
              </w:rPr>
              <w:t>8.780</w:t>
            </w:r>
          </w:p>
        </w:tc>
      </w:tr>
      <w:tr w:rsidR="00BA2810" w:rsidRPr="006420C1" w:rsidTr="00CF519B">
        <w:tc>
          <w:tcPr>
            <w:tcW w:w="3227"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spacing w:line="240" w:lineRule="atLeast"/>
              <w:rPr>
                <w:sz w:val="16"/>
                <w:szCs w:val="16"/>
              </w:rPr>
            </w:pPr>
            <w:r w:rsidRPr="006420C1">
              <w:rPr>
                <w:sz w:val="16"/>
                <w:szCs w:val="16"/>
              </w:rPr>
              <w:t>Inleenverbanden</w:t>
            </w:r>
          </w:p>
        </w:tc>
        <w:tc>
          <w:tcPr>
            <w:tcW w:w="2268"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2.004</w:t>
            </w:r>
          </w:p>
        </w:tc>
        <w:tc>
          <w:tcPr>
            <w:tcW w:w="1701"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2.291</w:t>
            </w:r>
          </w:p>
        </w:tc>
      </w:tr>
      <w:tr w:rsidR="00BA2810" w:rsidRPr="006420C1" w:rsidTr="00CF519B">
        <w:tc>
          <w:tcPr>
            <w:tcW w:w="3227"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spacing w:line="240" w:lineRule="atLeast"/>
              <w:rPr>
                <w:sz w:val="16"/>
                <w:szCs w:val="16"/>
              </w:rPr>
            </w:pPr>
            <w:r w:rsidRPr="006420C1">
              <w:rPr>
                <w:sz w:val="16"/>
                <w:szCs w:val="16"/>
              </w:rPr>
              <w:t>Wsw-detacheringen</w:t>
            </w:r>
            <w:r w:rsidRPr="006420C1">
              <w:rPr>
                <w:rStyle w:val="Voetnootmarkering"/>
                <w:sz w:val="16"/>
                <w:szCs w:val="16"/>
              </w:rPr>
              <w:footnoteReference w:id="9"/>
            </w:r>
          </w:p>
        </w:tc>
        <w:tc>
          <w:tcPr>
            <w:tcW w:w="2268"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6.152</w:t>
            </w:r>
          </w:p>
        </w:tc>
        <w:tc>
          <w:tcPr>
            <w:tcW w:w="1701"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sz w:val="16"/>
                <w:szCs w:val="16"/>
              </w:rPr>
            </w:pPr>
            <w:r w:rsidRPr="006420C1">
              <w:rPr>
                <w:sz w:val="16"/>
                <w:szCs w:val="16"/>
              </w:rPr>
              <w:t>9.987</w:t>
            </w:r>
          </w:p>
        </w:tc>
      </w:tr>
      <w:tr w:rsidR="00BA2810" w:rsidRPr="006420C1" w:rsidTr="00CF519B">
        <w:tc>
          <w:tcPr>
            <w:tcW w:w="3227"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spacing w:line="240" w:lineRule="atLeast"/>
              <w:rPr>
                <w:b/>
                <w:sz w:val="16"/>
                <w:szCs w:val="16"/>
              </w:rPr>
            </w:pPr>
            <w:r w:rsidRPr="006420C1">
              <w:rPr>
                <w:b/>
                <w:sz w:val="16"/>
                <w:szCs w:val="16"/>
              </w:rPr>
              <w:t>Totaal inclusief inleenverbanden</w:t>
            </w:r>
          </w:p>
        </w:tc>
        <w:tc>
          <w:tcPr>
            <w:tcW w:w="2268"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b/>
                <w:sz w:val="16"/>
                <w:szCs w:val="16"/>
              </w:rPr>
            </w:pPr>
            <w:r w:rsidRPr="006420C1">
              <w:rPr>
                <w:b/>
                <w:sz w:val="16"/>
                <w:szCs w:val="16"/>
              </w:rPr>
              <w:t>13.847</w:t>
            </w:r>
            <w:r w:rsidRPr="006420C1">
              <w:rPr>
                <w:rStyle w:val="Voetnootmarkering"/>
                <w:b/>
                <w:sz w:val="16"/>
                <w:szCs w:val="16"/>
              </w:rPr>
              <w:footnoteReference w:id="10"/>
            </w:r>
          </w:p>
        </w:tc>
        <w:tc>
          <w:tcPr>
            <w:tcW w:w="1701" w:type="dxa"/>
            <w:tcBorders>
              <w:top w:val="single" w:sz="4" w:space="0" w:color="auto"/>
              <w:left w:val="single" w:sz="4" w:space="0" w:color="auto"/>
              <w:bottom w:val="single" w:sz="4" w:space="0" w:color="auto"/>
              <w:right w:val="single" w:sz="4" w:space="0" w:color="auto"/>
            </w:tcBorders>
            <w:hideMark/>
          </w:tcPr>
          <w:p w:rsidR="00BA2810" w:rsidRPr="006420C1" w:rsidRDefault="00BA2810" w:rsidP="00CF519B">
            <w:pPr>
              <w:pStyle w:val="Default"/>
              <w:rPr>
                <w:b/>
                <w:sz w:val="16"/>
                <w:szCs w:val="16"/>
              </w:rPr>
            </w:pPr>
            <w:r w:rsidRPr="006420C1">
              <w:rPr>
                <w:b/>
                <w:sz w:val="16"/>
                <w:szCs w:val="16"/>
              </w:rPr>
              <w:t>21.057</w:t>
            </w:r>
          </w:p>
        </w:tc>
      </w:tr>
    </w:tbl>
    <w:p w:rsidR="00BA2810" w:rsidRPr="006420C1" w:rsidRDefault="00BA2810" w:rsidP="00BA2810">
      <w:pPr>
        <w:pStyle w:val="Default"/>
        <w:spacing w:line="240" w:lineRule="atLeast"/>
        <w:rPr>
          <w:sz w:val="18"/>
          <w:szCs w:val="18"/>
        </w:rPr>
      </w:pPr>
    </w:p>
    <w:p w:rsidR="00BA2810" w:rsidRPr="006420C1" w:rsidRDefault="00BA2810" w:rsidP="00DE7165">
      <w:pPr>
        <w:rPr>
          <w:szCs w:val="18"/>
        </w:rPr>
      </w:pPr>
    </w:p>
    <w:sectPr w:rsidR="00BA2810" w:rsidRPr="006420C1" w:rsidSect="00393DD0">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paperSrc w:first="262"/>
      <w:cols w:space="708"/>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792" w:rsidRDefault="00056792">
      <w:r>
        <w:separator/>
      </w:r>
    </w:p>
  </w:endnote>
  <w:endnote w:type="continuationSeparator" w:id="0">
    <w:p w:rsidR="00056792" w:rsidRDefault="000567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148" w:rsidRDefault="00674148">
    <w:pPr>
      <w:pStyle w:val="Voettekst"/>
      <w:framePr w:wrap="around" w:vAnchor="text" w:hAnchor="margin" w:xAlign="right" w:y="1"/>
    </w:pPr>
    <w:fldSimple w:instr="PAGE  ">
      <w:r>
        <w:rPr>
          <w:noProof/>
        </w:rPr>
        <w:t>6</w:t>
      </w:r>
    </w:fldSimple>
  </w:p>
  <w:p w:rsidR="00674148" w:rsidRDefault="00674148">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148" w:rsidRDefault="00674148" w:rsidP="008178D2">
    <w:pPr>
      <w:pStyle w:val="Voettekst"/>
    </w:pPr>
    <w:r>
      <w:tab/>
    </w:r>
    <w:fldSimple w:instr=" DOCPROPERTY  kPagina  \* MERGEFORMAT ">
      <w:r>
        <w:t>Pagina</w:t>
      </w:r>
    </w:fldSimple>
    <w:r>
      <w:t xml:space="preserve"> </w:t>
    </w:r>
    <w:fldSimple w:instr=" PAGE   \* MERGEFORMAT ">
      <w:r w:rsidR="00336E20">
        <w:rPr>
          <w:noProof/>
        </w:rPr>
        <w:t>7</w:t>
      </w:r>
    </w:fldSimple>
    <w:r>
      <w:t xml:space="preserve"> </w:t>
    </w:r>
    <w:fldSimple w:instr=" DOCPROPERTY  kPaginaVan  \* MERGEFORMAT ">
      <w:r>
        <w:t>van</w:t>
      </w:r>
    </w:fldSimple>
    <w:r>
      <w:t xml:space="preserve"> </w:t>
    </w:r>
    <w:fldSimple w:instr=" NUMPAGES   \* MERGEFORMAT ">
      <w:r w:rsidR="00336E20">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148" w:rsidRDefault="00674148" w:rsidP="00915096">
    <w:pPr>
      <w:pStyle w:val="Voettekst"/>
    </w:pPr>
    <w:r>
      <w:tab/>
    </w:r>
    <w:fldSimple w:instr=" DOCPROPERTY  kPagina  \* MERGEFORMAT ">
      <w:r>
        <w:t>Pagina</w:t>
      </w:r>
    </w:fldSimple>
    <w:r>
      <w:t xml:space="preserve"> </w:t>
    </w:r>
    <w:fldSimple w:instr=" PAGE   \* MERGEFORMAT ">
      <w:r w:rsidR="00336E20">
        <w:rPr>
          <w:noProof/>
        </w:rPr>
        <w:t>1</w:t>
      </w:r>
    </w:fldSimple>
    <w:r>
      <w:t xml:space="preserve"> </w:t>
    </w:r>
    <w:fldSimple w:instr=" DOCPROPERTY  kPaginaVan  \* MERGEFORMAT ">
      <w:r>
        <w:t>van</w:t>
      </w:r>
    </w:fldSimple>
    <w:r>
      <w:t xml:space="preserve"> </w:t>
    </w:r>
    <w:fldSimple w:instr=" NUMPAGES   \* MERGEFORMAT ">
      <w:r w:rsidR="00336E2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792" w:rsidRDefault="00056792">
      <w:r>
        <w:separator/>
      </w:r>
    </w:p>
  </w:footnote>
  <w:footnote w:type="continuationSeparator" w:id="0">
    <w:p w:rsidR="00056792" w:rsidRDefault="00056792">
      <w:r>
        <w:continuationSeparator/>
      </w:r>
    </w:p>
  </w:footnote>
  <w:footnote w:id="1">
    <w:p w:rsidR="00674148" w:rsidRDefault="00674148">
      <w:pPr>
        <w:pStyle w:val="Voetnoottekst"/>
      </w:pPr>
      <w:r>
        <w:rPr>
          <w:rStyle w:val="Voetnootmarkering"/>
        </w:rPr>
        <w:footnoteRef/>
      </w:r>
      <w:r>
        <w:t xml:space="preserve"> </w:t>
      </w:r>
      <w:r w:rsidRPr="00EB5B02">
        <w:rPr>
          <w:sz w:val="16"/>
          <w:szCs w:val="16"/>
        </w:rPr>
        <w:t>Kamerstukken II, 2014/15, 33981,</w:t>
      </w:r>
      <w:r>
        <w:rPr>
          <w:sz w:val="16"/>
          <w:szCs w:val="16"/>
        </w:rPr>
        <w:t xml:space="preserve"> </w:t>
      </w:r>
      <w:r w:rsidRPr="00EB5B02">
        <w:rPr>
          <w:sz w:val="16"/>
          <w:szCs w:val="16"/>
        </w:rPr>
        <w:t>nr</w:t>
      </w:r>
      <w:r>
        <w:rPr>
          <w:sz w:val="16"/>
          <w:szCs w:val="16"/>
        </w:rPr>
        <w:t>.</w:t>
      </w:r>
      <w:r w:rsidRPr="00EB5B02">
        <w:rPr>
          <w:sz w:val="16"/>
          <w:szCs w:val="16"/>
        </w:rPr>
        <w:t xml:space="preserve"> 46</w:t>
      </w:r>
      <w:r>
        <w:rPr>
          <w:sz w:val="16"/>
          <w:szCs w:val="16"/>
        </w:rPr>
        <w:t>.</w:t>
      </w:r>
    </w:p>
  </w:footnote>
  <w:footnote w:id="2">
    <w:p w:rsidR="00674148" w:rsidRPr="00141475" w:rsidRDefault="00674148" w:rsidP="00C41709">
      <w:pPr>
        <w:pStyle w:val="Voetnoottekst"/>
        <w:rPr>
          <w:sz w:val="16"/>
          <w:szCs w:val="16"/>
        </w:rPr>
      </w:pPr>
      <w:r>
        <w:rPr>
          <w:rStyle w:val="Voetnootmarkering"/>
        </w:rPr>
        <w:footnoteRef/>
      </w:r>
      <w:r>
        <w:t xml:space="preserve"> </w:t>
      </w:r>
      <w:r w:rsidRPr="00141475">
        <w:rPr>
          <w:sz w:val="16"/>
          <w:szCs w:val="16"/>
        </w:rPr>
        <w:t>Kamerstukken II, 2015/16, 34 352, nr. 16.</w:t>
      </w:r>
    </w:p>
  </w:footnote>
  <w:footnote w:id="3">
    <w:p w:rsidR="00674148" w:rsidRPr="00141475" w:rsidRDefault="00674148" w:rsidP="00C41709">
      <w:pPr>
        <w:pStyle w:val="Voetnoottekst"/>
        <w:rPr>
          <w:sz w:val="16"/>
          <w:szCs w:val="16"/>
        </w:rPr>
      </w:pPr>
      <w:r w:rsidRPr="00141475">
        <w:rPr>
          <w:rStyle w:val="Voetnootmarkering"/>
          <w:sz w:val="16"/>
          <w:szCs w:val="16"/>
        </w:rPr>
        <w:footnoteRef/>
      </w:r>
      <w:r w:rsidRPr="00141475">
        <w:rPr>
          <w:sz w:val="16"/>
          <w:szCs w:val="16"/>
        </w:rPr>
        <w:t xml:space="preserve"> Regeling Staatscourant</w:t>
      </w:r>
      <w:r>
        <w:rPr>
          <w:sz w:val="16"/>
          <w:szCs w:val="16"/>
        </w:rPr>
        <w:t xml:space="preserve"> nr. 36.116, 12 juli 2016. </w:t>
      </w:r>
    </w:p>
  </w:footnote>
  <w:footnote w:id="4">
    <w:p w:rsidR="00674148" w:rsidRDefault="00674148" w:rsidP="0008502F">
      <w:pPr>
        <w:pStyle w:val="Voetnoottekst"/>
      </w:pPr>
      <w:r>
        <w:rPr>
          <w:rStyle w:val="Voetnootmarkering"/>
        </w:rPr>
        <w:footnoteRef/>
      </w:r>
      <w:r>
        <w:t xml:space="preserve"> </w:t>
      </w:r>
      <w:r w:rsidRPr="00125D01">
        <w:rPr>
          <w:sz w:val="16"/>
          <w:szCs w:val="16"/>
        </w:rPr>
        <w:t>Kamerstukken II, vergaderjaar 2015–2016, 34 352, nr. 16</w:t>
      </w:r>
      <w:r>
        <w:rPr>
          <w:sz w:val="16"/>
          <w:szCs w:val="16"/>
        </w:rPr>
        <w:t>.</w:t>
      </w:r>
    </w:p>
  </w:footnote>
  <w:footnote w:id="5">
    <w:p w:rsidR="00674148" w:rsidRDefault="00674148" w:rsidP="00BA2810">
      <w:pPr>
        <w:pStyle w:val="Voetnoottekst"/>
        <w:spacing w:line="240" w:lineRule="auto"/>
      </w:pPr>
      <w:r>
        <w:rPr>
          <w:rStyle w:val="Voetnootmarkering"/>
        </w:rPr>
        <w:footnoteRef/>
      </w:r>
      <w:r>
        <w:t xml:space="preserve"> </w:t>
      </w:r>
      <w:r>
        <w:rPr>
          <w:sz w:val="16"/>
          <w:szCs w:val="16"/>
        </w:rPr>
        <w:t>Op basis van 110,92 uur per maand.</w:t>
      </w:r>
    </w:p>
  </w:footnote>
  <w:footnote w:id="6">
    <w:p w:rsidR="00674148" w:rsidRDefault="00674148" w:rsidP="00BA2810">
      <w:pPr>
        <w:pStyle w:val="Voetnoottekst"/>
        <w:spacing w:line="240" w:lineRule="auto"/>
        <w:rPr>
          <w:sz w:val="16"/>
          <w:szCs w:val="16"/>
        </w:rPr>
      </w:pPr>
      <w:r>
        <w:rPr>
          <w:rStyle w:val="Voetnootmarkering"/>
        </w:rPr>
        <w:footnoteRef/>
      </w:r>
      <w:r>
        <w:t xml:space="preserve"> </w:t>
      </w:r>
      <w:r>
        <w:rPr>
          <w:sz w:val="16"/>
          <w:szCs w:val="16"/>
        </w:rPr>
        <w:t xml:space="preserve">Hieronder vallen oWajong, Studieregeling nWajong, Werkregeling nWajong, Wajong (o en nWajong) én Wsw begeleid werk </w:t>
      </w:r>
    </w:p>
  </w:footnote>
  <w:footnote w:id="7">
    <w:p w:rsidR="00674148" w:rsidRDefault="00674148" w:rsidP="00BA2810">
      <w:pPr>
        <w:pStyle w:val="Voetnoottekst"/>
        <w:spacing w:line="240" w:lineRule="auto"/>
      </w:pPr>
      <w:r>
        <w:rPr>
          <w:rStyle w:val="Voetnootmarkering"/>
        </w:rPr>
        <w:footnoteRef/>
      </w:r>
      <w:r>
        <w:t xml:space="preserve"> </w:t>
      </w:r>
      <w:r>
        <w:rPr>
          <w:sz w:val="16"/>
          <w:szCs w:val="16"/>
        </w:rPr>
        <w:t>Dit aantal is negatief omdat de Wsw-wachtlijst vanaf 1 januari 2015 niet meer bestaat. Vanaf de één-meting zijn deze mensen opgenomen in de categorie doelgroep Participatiewet.</w:t>
      </w:r>
    </w:p>
  </w:footnote>
  <w:footnote w:id="8">
    <w:p w:rsidR="00674148" w:rsidRDefault="00674148" w:rsidP="00BA2810">
      <w:pPr>
        <w:pStyle w:val="Voetnoottekst"/>
        <w:spacing w:line="240" w:lineRule="auto"/>
      </w:pPr>
      <w:r>
        <w:rPr>
          <w:rStyle w:val="Voetnootmarkering"/>
        </w:rPr>
        <w:footnoteRef/>
      </w:r>
      <w:r>
        <w:t xml:space="preserve"> </w:t>
      </w:r>
      <w:r>
        <w:rPr>
          <w:sz w:val="16"/>
          <w:szCs w:val="16"/>
        </w:rPr>
        <w:t xml:space="preserve">De categorie Wsw-indicatie betreft mensen die na 1 januari 2015 hun baan zijn verloren en voorheen op de Wsw-wachtlijst terecht zouden zijn gekomen. </w:t>
      </w:r>
    </w:p>
  </w:footnote>
  <w:footnote w:id="9">
    <w:p w:rsidR="00674148" w:rsidRDefault="00674148" w:rsidP="00BA2810">
      <w:pPr>
        <w:pStyle w:val="Voetnoottekst"/>
        <w:spacing w:line="240" w:lineRule="auto"/>
      </w:pPr>
      <w:r>
        <w:rPr>
          <w:rStyle w:val="Voetnootmarkering"/>
        </w:rPr>
        <w:footnoteRef/>
      </w:r>
      <w:r>
        <w:t xml:space="preserve"> </w:t>
      </w:r>
      <w:r>
        <w:rPr>
          <w:sz w:val="16"/>
          <w:szCs w:val="16"/>
        </w:rPr>
        <w:t xml:space="preserve">Onder Wsw-detacheringen vallen ook mensen waarvoor samenloop bestaat met Wajong en/of Wiw/ID. </w:t>
      </w:r>
    </w:p>
  </w:footnote>
  <w:footnote w:id="10">
    <w:p w:rsidR="00674148" w:rsidRDefault="00674148" w:rsidP="00BA2810">
      <w:pPr>
        <w:pStyle w:val="Voetnoottekst"/>
        <w:spacing w:line="240" w:lineRule="auto"/>
      </w:pPr>
      <w:r>
        <w:rPr>
          <w:rStyle w:val="Voetnootmarkering"/>
        </w:rPr>
        <w:footnoteRef/>
      </w:r>
      <w:r>
        <w:t xml:space="preserve"> </w:t>
      </w:r>
      <w:r w:rsidRPr="00105F1D">
        <w:rPr>
          <w:sz w:val="16"/>
          <w:szCs w:val="16"/>
        </w:rPr>
        <w:t>Het aantal van 13.847 personen betreft het unieke aantal extra personen met een baan uit de doelgroep. De totalen in deze kolom tellen op tot 14.043 personen. Dit komt doordat er personen zijn die zowel werkzaam zijn bij een formele werkgever als werkzaam zijn op basis van een inleenverband/detachering. Voor het aantal extra personen met een baan uit de doelgroep, is deze dubbeling eruit gehaald.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148" w:rsidRDefault="00674148">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465.7pt;margin-top:151.65pt;width:102.45pt;height:378pt;z-index:251656704;mso-position-horizontal-relative:page;mso-position-vertical-relative:page" filled="f" stroked="f">
          <v:textbox style="mso-next-textbox:#_x0000_s2049" inset="0,0,0,0">
            <w:txbxContent>
              <w:p w:rsidR="00674148" w:rsidRPr="00E451D0" w:rsidRDefault="00674148" w:rsidP="00B82BC2">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fldSimple w:instr=" DOCPROPERTY  i2eGeledingTxt  \* MERGEFORMAT ">
                  <w:r>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674148" w:rsidRPr="00E451D0" w:rsidRDefault="00674148" w:rsidP="00B82BC2">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fldSimple w:instr=" DOCPROPERTY  i3eGeledingTxt  \* MERGEFORMAT ">
                  <w:r>
                    <w:rPr>
                      <w:b w:val="0"/>
                    </w:rPr>
                    <w:instrText>i3eGeledingtxt</w:instrText>
                  </w:r>
                </w:fldSimple>
                <w:r w:rsidRPr="00E451D0">
                  <w:rPr>
                    <w:b w:val="0"/>
                  </w:rPr>
                  <w:instrText xml:space="preserve">  </w:instrText>
                </w:r>
                <w:r w:rsidRPr="00E451D0">
                  <w:rPr>
                    <w:b w:val="0"/>
                  </w:rPr>
                  <w:fldChar w:fldCharType="end"/>
                </w:r>
              </w:p>
              <w:p w:rsidR="00674148" w:rsidRDefault="00674148" w:rsidP="00C91626">
                <w:pPr>
                  <w:pStyle w:val="Witregel2"/>
                </w:pPr>
              </w:p>
              <w:p w:rsidR="00674148" w:rsidRDefault="00674148" w:rsidP="00C91626">
                <w:pPr>
                  <w:pStyle w:val="Referentiegegevenkopjes"/>
                </w:pPr>
                <w:fldSimple w:instr=" DOCPROPERTY  kDatum  \* MERGEFORMAT ">
                  <w:r>
                    <w:t>Datum</w:t>
                  </w:r>
                </w:fldSimple>
              </w:p>
              <w:p w:rsidR="00674148" w:rsidRDefault="00674148" w:rsidP="00C91626">
                <w:pPr>
                  <w:pStyle w:val="Referentiegegevens"/>
                </w:pPr>
                <w:r w:rsidRPr="001D0C71">
                  <w:fldChar w:fldCharType="begin"/>
                </w:r>
                <w:r w:rsidRPr="001D0C71">
                  <w:instrText xml:space="preserve"> IF </w:instrText>
                </w:r>
                <w:fldSimple w:instr=" DOCPROPERTY  iChkDatum  \* MERGEFORMAT ">
                  <w:r w:rsidRPr="006420C1">
                    <w:rPr>
                      <w:bCs/>
                    </w:rPr>
                    <w:instrText>-1</w:instrText>
                  </w:r>
                </w:fldSimple>
                <w:r w:rsidRPr="001D0C71">
                  <w:instrText xml:space="preserve"> = "0" "" "</w:instrText>
                </w:r>
                <w:r w:rsidRPr="00A20E70">
                  <w:fldChar w:fldCharType="begin"/>
                </w:r>
                <w:r w:rsidRPr="00A20E70">
                  <w:instrText xml:space="preserve"> DOCPROPERTY  iDatum  \@ "d MMMM yyyy" </w:instrText>
                </w:r>
                <w:r w:rsidRPr="00A20E70">
                  <w:fldChar w:fldCharType="separate"/>
                </w:r>
              </w:p>
              <w:p w:rsidR="00674148" w:rsidRDefault="00674148" w:rsidP="00C91626">
                <w:pPr>
                  <w:pStyle w:val="Referentiegegevens"/>
                  <w:rPr>
                    <w:noProof/>
                  </w:rPr>
                </w:pPr>
                <w:r w:rsidRPr="00A20E70">
                  <w:fldChar w:fldCharType="end"/>
                </w:r>
                <w:r w:rsidRPr="001D0C71">
                  <w:instrText xml:space="preserve">"  </w:instrText>
                </w:r>
                <w:r w:rsidRPr="001D0C71">
                  <w:fldChar w:fldCharType="separate"/>
                </w:r>
              </w:p>
              <w:p w:rsidR="00674148" w:rsidRDefault="00674148" w:rsidP="00C91626">
                <w:pPr>
                  <w:pStyle w:val="Referentiegegevens"/>
                </w:pPr>
                <w:r w:rsidRPr="001D0C71">
                  <w:fldChar w:fldCharType="end"/>
                </w:r>
              </w:p>
              <w:p w:rsidR="00674148" w:rsidRPr="00C91626" w:rsidRDefault="00674148" w:rsidP="00B82BC2">
                <w:pPr>
                  <w:pStyle w:val="Witregel1"/>
                </w:pPr>
              </w:p>
              <w:p w:rsidR="00674148" w:rsidRDefault="00674148" w:rsidP="00C91626">
                <w:pPr>
                  <w:pStyle w:val="Referentiegegevenkopjes"/>
                </w:pPr>
                <w:fldSimple w:instr=" DOCPROPERTY  kOnsKenmerk  \* MERGEFORMAT ">
                  <w:r>
                    <w:t>Onze referentie</w:t>
                  </w:r>
                </w:fldSimple>
              </w:p>
              <w:p w:rsidR="00674148" w:rsidRDefault="00674148" w:rsidP="00C91626">
                <w:pPr>
                  <w:pStyle w:val="Referentiegegevens"/>
                </w:pPr>
                <w:fldSimple w:instr=" DOCPROPERTY  iOnskenmerk  \* MERGEFORMAT ">
                  <w:r>
                    <w:t>2016-0000159295</w:t>
                  </w:r>
                </w:fldSimple>
              </w:p>
              <w:p w:rsidR="00674148" w:rsidRDefault="00674148" w:rsidP="00C91626">
                <w:pPr>
                  <w:pStyle w:val="Witregel1"/>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148" w:rsidRPr="006420C1" w:rsidRDefault="00674148">
    <w:pPr>
      <w:pStyle w:val="Koptekst"/>
    </w:pPr>
    <w:r w:rsidRPr="006420C1">
      <w:rPr>
        <w:noProof/>
      </w:rPr>
      <w:pict>
        <v:shapetype id="_x0000_t202" coordsize="21600,21600" o:spt="202" path="m,l,21600r21600,l21600,xe">
          <v:stroke joinstyle="miter"/>
          <v:path gradientshapeok="t" o:connecttype="rect"/>
        </v:shapetype>
        <v:shape id="SzwAfzend" o:spid="_x0000_s2050" type="#_x0000_t202" style="position:absolute;margin-left:465.7pt;margin-top:151.65pt;width:102.45pt;height:639.25pt;z-index:251657728;mso-position-horizontal-relative:page;mso-position-vertical-relative:page" filled="f" stroked="f">
          <v:textbox style="mso-next-textbox:#SzwAfzend" inset="0,0,0,0">
            <w:txbxContent>
              <w:p w:rsidR="00674148" w:rsidRPr="00E451D0" w:rsidRDefault="00674148" w:rsidP="004746D8">
                <w:pPr>
                  <w:pStyle w:val="Afzendgegevenskopjes"/>
                </w:pP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fldSimple w:instr=" DOCPROPERTY  i2eGeledingTxt  \* MERGEFORMAT ">
                  <w:r>
                    <w:instrText>i2eGeledingTxt</w:instrText>
                  </w:r>
                </w:fldSimple>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i2eGeledingTxt  \* MERGEFORMAT </w:instrText>
                </w:r>
                <w:r w:rsidRPr="00E451D0">
                  <w:fldChar w:fldCharType="end"/>
                </w:r>
                <w:r w:rsidRPr="00E451D0">
                  <w:instrText xml:space="preserve"> = "" "" "</w:instrText>
                </w:r>
              </w:p>
              <w:p w:rsidR="00674148" w:rsidRPr="00E451D0" w:rsidRDefault="00674148" w:rsidP="004746D8">
                <w:pPr>
                  <w:pStyle w:val="Afzendgegevenskopjes"/>
                </w:pPr>
                <w:r w:rsidRPr="00E451D0">
                  <w:instrText xml:space="preserve">" </w:instrText>
                </w:r>
                <w:r w:rsidRPr="00E451D0">
                  <w:fldChar w:fldCharType="end"/>
                </w:r>
                <w:r w:rsidRPr="00E451D0">
                  <w:rPr>
                    <w:b w:val="0"/>
                  </w:rPr>
                  <w:fldChar w:fldCharType="begin"/>
                </w:r>
                <w:r w:rsidRPr="00E451D0">
                  <w:rPr>
                    <w:b w:val="0"/>
                  </w:rPr>
                  <w:instrText xml:space="preserve"> IF </w:instrText>
                </w:r>
                <w:r w:rsidRPr="00E451D0">
                  <w:rPr>
                    <w:b w:val="0"/>
                  </w:rPr>
                  <w:fldChar w:fldCharType="begin"/>
                </w:r>
                <w:r w:rsidRPr="00E451D0">
                  <w:rPr>
                    <w:b w:val="0"/>
                  </w:rPr>
                  <w:instrText xml:space="preserve"> DOCPROPERTY  i3eGeledingTxt  \* MERGEFORMAT </w:instrText>
                </w:r>
                <w:r w:rsidRPr="00E451D0">
                  <w:rPr>
                    <w:b w:val="0"/>
                  </w:rPr>
                  <w:fldChar w:fldCharType="end"/>
                </w:r>
                <w:r w:rsidRPr="00E451D0">
                  <w:rPr>
                    <w:b w:val="0"/>
                  </w:rPr>
                  <w:instrText xml:space="preserve"> = "" "" </w:instrText>
                </w:r>
                <w:fldSimple w:instr=" DOCPROPERTY  i3eGeledingTxt  \* MERGEFORMAT ">
                  <w:r>
                    <w:rPr>
                      <w:b w:val="0"/>
                    </w:rPr>
                    <w:instrText>i3eGeledingtxt</w:instrText>
                  </w:r>
                </w:fldSimple>
                <w:r w:rsidRPr="00E451D0">
                  <w:rPr>
                    <w:b w:val="0"/>
                  </w:rPr>
                  <w:instrText xml:space="preserve">  </w:instrText>
                </w:r>
                <w:r w:rsidRPr="00E451D0">
                  <w:rPr>
                    <w:b w:val="0"/>
                  </w:rPr>
                  <w:fldChar w:fldCharType="end"/>
                </w:r>
              </w:p>
              <w:p w:rsidR="00674148" w:rsidRPr="00E451D0" w:rsidRDefault="00674148" w:rsidP="004746D8">
                <w:pPr>
                  <w:pStyle w:val="Witregel1"/>
                </w:pPr>
              </w:p>
              <w:p w:rsidR="00674148" w:rsidRDefault="00674148" w:rsidP="00AA1F56">
                <w:pPr>
                  <w:pStyle w:val="Afzendgegevens"/>
                </w:pPr>
                <w:bookmarkStart w:id="1" w:name="iAfzender"/>
                <w:r>
                  <w:t>Postbus 90801</w:t>
                </w:r>
              </w:p>
              <w:p w:rsidR="00674148" w:rsidRDefault="00674148" w:rsidP="00AA1F56">
                <w:pPr>
                  <w:pStyle w:val="Afzendgegevens"/>
                </w:pPr>
                <w:r>
                  <w:t>2509 LV  Den Haag</w:t>
                </w:r>
              </w:p>
              <w:p w:rsidR="00674148" w:rsidRPr="00CD34C4" w:rsidRDefault="00674148" w:rsidP="00AA1F56">
                <w:pPr>
                  <w:pStyle w:val="Afzendgegevens"/>
                </w:pPr>
                <w:r w:rsidRPr="00CD34C4">
                  <w:t>Parnassusplein 5</w:t>
                </w:r>
              </w:p>
              <w:p w:rsidR="00674148" w:rsidRPr="000A329E" w:rsidRDefault="00674148" w:rsidP="00AA1F56">
                <w:pPr>
                  <w:pStyle w:val="Afzendgegevens"/>
                  <w:rPr>
                    <w:lang w:val="en-US"/>
                  </w:rPr>
                </w:pPr>
                <w:r w:rsidRPr="000A329E">
                  <w:rPr>
                    <w:lang w:val="en-US"/>
                  </w:rPr>
                  <w:t>T</w:t>
                </w:r>
                <w:r w:rsidRPr="000A329E">
                  <w:rPr>
                    <w:lang w:val="en-US"/>
                  </w:rPr>
                  <w:tab/>
                  <w:t>070 333 44 44</w:t>
                </w:r>
              </w:p>
              <w:p w:rsidR="00674148" w:rsidRPr="000A329E" w:rsidRDefault="00674148" w:rsidP="00AA1F56">
                <w:pPr>
                  <w:pStyle w:val="Afzendgegevens"/>
                  <w:rPr>
                    <w:lang w:val="en-US"/>
                  </w:rPr>
                </w:pPr>
                <w:r w:rsidRPr="000A329E">
                  <w:rPr>
                    <w:lang w:val="en-US"/>
                  </w:rPr>
                  <w:t>F</w:t>
                </w:r>
                <w:r w:rsidRPr="000A329E">
                  <w:rPr>
                    <w:lang w:val="en-US"/>
                  </w:rPr>
                  <w:tab/>
                  <w:t>070 333 44 00</w:t>
                </w:r>
              </w:p>
              <w:p w:rsidR="00674148" w:rsidRPr="000A329E" w:rsidRDefault="00674148" w:rsidP="004746D8">
                <w:pPr>
                  <w:pStyle w:val="Afzendgegevens"/>
                  <w:rPr>
                    <w:lang w:val="en-US"/>
                  </w:rPr>
                </w:pPr>
                <w:r w:rsidRPr="000A329E">
                  <w:rPr>
                    <w:lang w:val="en-US"/>
                  </w:rPr>
                  <w:t>www.rijksoverheid.nl</w:t>
                </w:r>
                <w:bookmarkEnd w:id="1"/>
              </w:p>
              <w:p w:rsidR="00674148" w:rsidRPr="000A2722" w:rsidRDefault="00674148" w:rsidP="004746D8">
                <w:pPr>
                  <w:pStyle w:val="Witregel1"/>
                  <w:rPr>
                    <w:lang w:val="en-US"/>
                  </w:rPr>
                </w:pPr>
              </w:p>
              <w:p w:rsidR="00674148" w:rsidRPr="000A329E" w:rsidRDefault="00674148" w:rsidP="004746D8">
                <w:pPr>
                  <w:pStyle w:val="Afzendgegevens"/>
                  <w:rPr>
                    <w:lang w:val="en-US"/>
                  </w:rPr>
                </w:pPr>
                <w:r w:rsidRPr="00E451D0">
                  <w:fldChar w:fldCharType="begin"/>
                </w:r>
                <w:r w:rsidRPr="000A329E">
                  <w:rPr>
                    <w:lang w:val="en-US"/>
                  </w:rPr>
                  <w:instrText xml:space="preserve"> IF </w:instrText>
                </w:r>
                <w:r w:rsidRPr="00E451D0">
                  <w:fldChar w:fldCharType="begin"/>
                </w:r>
                <w:r w:rsidRPr="000A329E">
                  <w:rPr>
                    <w:lang w:val="en-US"/>
                  </w:rPr>
                  <w:instrText xml:space="preserve"> DOCPROPERTY  iCP2  \* MERGEFORMAT </w:instrText>
                </w:r>
                <w:r w:rsidRPr="00E451D0">
                  <w:fldChar w:fldCharType="end"/>
                </w:r>
                <w:r w:rsidRPr="000A329E">
                  <w:rPr>
                    <w:lang w:val="en-US"/>
                  </w:rPr>
                  <w:instrText xml:space="preserve"> = "" "" "</w:instrText>
                </w:r>
              </w:p>
              <w:p w:rsidR="00674148" w:rsidRPr="000A329E" w:rsidRDefault="00674148" w:rsidP="004746D8">
                <w:pPr>
                  <w:pStyle w:val="Afzendgegevens"/>
                  <w:rPr>
                    <w:lang w:val="en-US"/>
                  </w:rPr>
                </w:pPr>
                <w:fldSimple w:instr=" DOCPROPERTY  iCP2  \* MERGEFORMAT ">
                  <w:r w:rsidRPr="000A329E">
                    <w:rPr>
                      <w:lang w:val="en-US"/>
                    </w:rPr>
                    <w:instrText>iCP2</w:instrText>
                  </w:r>
                </w:fldSimple>
              </w:p>
              <w:p w:rsidR="00674148" w:rsidRPr="000A329E" w:rsidRDefault="00674148" w:rsidP="004746D8">
                <w:pPr>
                  <w:pStyle w:val="Witregel1"/>
                  <w:rPr>
                    <w:lang w:val="en-US"/>
                  </w:rPr>
                </w:pPr>
              </w:p>
              <w:p w:rsidR="00674148" w:rsidRPr="000A329E" w:rsidRDefault="00674148" w:rsidP="004746D8">
                <w:pPr>
                  <w:pStyle w:val="Afzendgegevens"/>
                  <w:rPr>
                    <w:lang w:val="en-US"/>
                  </w:rPr>
                </w:pPr>
                <w:r w:rsidRPr="00E451D0">
                  <w:fldChar w:fldCharType="begin"/>
                </w:r>
                <w:r w:rsidRPr="000A329E">
                  <w:rPr>
                    <w:lang w:val="en-US"/>
                  </w:rPr>
                  <w:instrText xml:space="preserve"> IF </w:instrText>
                </w:r>
                <w:r w:rsidRPr="00E451D0">
                  <w:fldChar w:fldCharType="begin"/>
                </w:r>
                <w:r w:rsidRPr="000A329E">
                  <w:rPr>
                    <w:lang w:val="en-US"/>
                  </w:rPr>
                  <w:instrText xml:space="preserve"> DOCPROPERTY  iChkDoorkies  \* MERGEFORMAT </w:instrText>
                </w:r>
                <w:r w:rsidRPr="00E451D0">
                  <w:fldChar w:fldCharType="separate"/>
                </w:r>
                <w:r w:rsidRPr="000A329E">
                  <w:rPr>
                    <w:b/>
                    <w:bCs/>
                    <w:lang w:val="en-US"/>
                  </w:rPr>
                  <w:instrText>Fout! Onbekende naam voor documenteigenschap.</w:instrText>
                </w:r>
                <w:r w:rsidRPr="00E451D0">
                  <w:fldChar w:fldCharType="end"/>
                </w:r>
                <w:r w:rsidRPr="000A329E">
                  <w:rPr>
                    <w:lang w:val="en-US"/>
                  </w:rPr>
                  <w:instrText xml:space="preserve"> = "0" "" "</w:instrText>
                </w:r>
                <w:fldSimple w:instr=" DOCPROPERTY  kDoorkies  \* MERGEFORMAT ">
                  <w:r w:rsidRPr="000A329E">
                    <w:rPr>
                      <w:lang w:val="en-US"/>
                    </w:rPr>
                    <w:instrText>T</w:instrText>
                  </w:r>
                </w:fldSimple>
                <w:r w:rsidRPr="000A329E">
                  <w:rPr>
                    <w:lang w:val="en-US"/>
                  </w:rPr>
                  <w:tab/>
                </w:r>
                <w:fldSimple w:instr=" DOCPROPERTY  iDoorkies2  \* MERGEFORMAT ">
                  <w:r w:rsidRPr="000A329E">
                    <w:rPr>
                      <w:lang w:val="en-US"/>
                    </w:rPr>
                    <w:instrText>iDoorkies2</w:instrText>
                  </w:r>
                </w:fldSimple>
              </w:p>
              <w:p w:rsidR="00674148" w:rsidRPr="000A329E" w:rsidRDefault="00674148" w:rsidP="004746D8">
                <w:pPr>
                  <w:pStyle w:val="Afzendgegevens"/>
                  <w:rPr>
                    <w:noProof/>
                    <w:lang w:val="en-US"/>
                  </w:rPr>
                </w:pPr>
                <w:r w:rsidRPr="000A329E">
                  <w:rPr>
                    <w:lang w:val="en-US"/>
                  </w:rPr>
                  <w:instrText xml:space="preserve">"  </w:instrText>
                </w:r>
                <w:r>
                  <w:fldChar w:fldCharType="separate"/>
                </w:r>
                <w:r w:rsidRPr="000A329E">
                  <w:rPr>
                    <w:noProof/>
                    <w:lang w:val="en-US"/>
                  </w:rPr>
                  <w:instrText>T</w:instrText>
                </w:r>
                <w:r w:rsidRPr="000A329E">
                  <w:rPr>
                    <w:noProof/>
                    <w:lang w:val="en-US"/>
                  </w:rPr>
                  <w:tab/>
                  <w:instrText>iDoorkies2</w:instrText>
                </w:r>
              </w:p>
              <w:p w:rsidR="00674148" w:rsidRPr="000A329E" w:rsidRDefault="00674148" w:rsidP="004746D8">
                <w:pPr>
                  <w:pStyle w:val="Afzendgegevens"/>
                  <w:rPr>
                    <w:lang w:val="en-US"/>
                  </w:rPr>
                </w:pPr>
                <w:r w:rsidRPr="00E451D0">
                  <w:fldChar w:fldCharType="end"/>
                </w:r>
                <w:r w:rsidRPr="00E451D0">
                  <w:fldChar w:fldCharType="begin"/>
                </w:r>
                <w:r w:rsidRPr="000A329E">
                  <w:rPr>
                    <w:lang w:val="en-US"/>
                  </w:rPr>
                  <w:instrText xml:space="preserve"> IF </w:instrText>
                </w:r>
                <w:r w:rsidRPr="00E451D0">
                  <w:fldChar w:fldCharType="begin"/>
                </w:r>
                <w:r w:rsidRPr="000A329E">
                  <w:rPr>
                    <w:lang w:val="en-US"/>
                  </w:rPr>
                  <w:instrText xml:space="preserve"> DOCPROPERTY  iChkEmail  \* MERGEFORMAT </w:instrText>
                </w:r>
                <w:r w:rsidRPr="00E451D0">
                  <w:fldChar w:fldCharType="separate"/>
                </w:r>
                <w:r w:rsidRPr="000A329E">
                  <w:rPr>
                    <w:b/>
                    <w:bCs/>
                    <w:lang w:val="en-US"/>
                  </w:rPr>
                  <w:instrText>Fout! Onbekende naam voor documenteigenschap.</w:instrText>
                </w:r>
                <w:r w:rsidRPr="00E451D0">
                  <w:fldChar w:fldCharType="end"/>
                </w:r>
                <w:r w:rsidRPr="000A329E">
                  <w:rPr>
                    <w:lang w:val="en-US"/>
                  </w:rPr>
                  <w:instrText xml:space="preserve"> = "0" "" "</w:instrText>
                </w:r>
                <w:fldSimple w:instr=" DOCPROPERTY  iEmail2  \* MERGEFORMAT ">
                  <w:r w:rsidRPr="000A329E">
                    <w:rPr>
                      <w:lang w:val="en-US"/>
                    </w:rPr>
                    <w:instrText>iEmail2</w:instrText>
                  </w:r>
                </w:fldSimple>
              </w:p>
              <w:p w:rsidR="00674148" w:rsidRPr="000A329E" w:rsidRDefault="00674148" w:rsidP="004746D8">
                <w:pPr>
                  <w:pStyle w:val="Afzendgegevens"/>
                  <w:rPr>
                    <w:noProof/>
                    <w:lang w:val="en-US"/>
                  </w:rPr>
                </w:pPr>
                <w:r w:rsidRPr="000A329E">
                  <w:rPr>
                    <w:lang w:val="en-US"/>
                  </w:rPr>
                  <w:instrText xml:space="preserve">"  </w:instrText>
                </w:r>
                <w:r>
                  <w:fldChar w:fldCharType="separate"/>
                </w:r>
                <w:r w:rsidRPr="000A329E">
                  <w:rPr>
                    <w:noProof/>
                    <w:lang w:val="en-US"/>
                  </w:rPr>
                  <w:instrText>iEmail2</w:instrText>
                </w:r>
              </w:p>
              <w:p w:rsidR="00674148" w:rsidRPr="000A329E" w:rsidRDefault="00674148" w:rsidP="004746D8">
                <w:pPr>
                  <w:pStyle w:val="Afzendgegevens"/>
                  <w:rPr>
                    <w:lang w:val="en-US"/>
                  </w:rPr>
                </w:pPr>
                <w:r w:rsidRPr="00E451D0">
                  <w:fldChar w:fldCharType="end"/>
                </w:r>
                <w:r w:rsidRPr="000A329E">
                  <w:rPr>
                    <w:lang w:val="en-US"/>
                  </w:rPr>
                  <w:instrText xml:space="preserve">"  </w:instrText>
                </w:r>
                <w:r w:rsidRPr="00E451D0">
                  <w:fldChar w:fldCharType="end"/>
                </w:r>
              </w:p>
              <w:p w:rsidR="00674148" w:rsidRPr="000A329E" w:rsidRDefault="00674148" w:rsidP="004746D8">
                <w:pPr>
                  <w:pStyle w:val="Witregel1"/>
                  <w:rPr>
                    <w:lang w:val="en-US"/>
                  </w:rPr>
                </w:pPr>
              </w:p>
              <w:p w:rsidR="00674148" w:rsidRPr="000A329E" w:rsidRDefault="00674148" w:rsidP="004746D8">
                <w:pPr>
                  <w:pStyle w:val="Referentiegegevenkopjes"/>
                  <w:rPr>
                    <w:lang w:val="en-US"/>
                  </w:rPr>
                </w:pPr>
                <w:fldSimple w:instr=" DOCPROPERTY  kOnsKenmerk  \* MERGEFORMAT ">
                  <w:r w:rsidRPr="000A329E">
                    <w:rPr>
                      <w:lang w:val="en-US"/>
                    </w:rPr>
                    <w:t>Onze referentie</w:t>
                  </w:r>
                </w:fldSimple>
              </w:p>
              <w:p w:rsidR="00674148" w:rsidRDefault="00674148" w:rsidP="004746D8">
                <w:pPr>
                  <w:pStyle w:val="Referentiegegevens"/>
                </w:pPr>
                <w:fldSimple w:instr=" DOCPROPERTY  iOnskenmerk  \* MERGEFORMAT ">
                  <w:r>
                    <w:t>2016-0000159295</w:t>
                  </w:r>
                </w:fldSimple>
              </w:p>
              <w:p w:rsidR="00674148" w:rsidRPr="00E451D0" w:rsidRDefault="00674148" w:rsidP="004746D8">
                <w:pPr>
                  <w:pStyle w:val="Referentiegegevens"/>
                </w:pPr>
                <w:r w:rsidRPr="00E451D0">
                  <w:fldChar w:fldCharType="begin"/>
                </w:r>
                <w:r w:rsidRPr="00E451D0">
                  <w:instrText xml:space="preserve"> IF </w:instrText>
                </w:r>
                <w:r w:rsidRPr="00E451D0">
                  <w:fldChar w:fldCharType="begin"/>
                </w:r>
                <w:r w:rsidRPr="00E451D0">
                  <w:instrText xml:space="preserve"> DOCPROPERTY iUwBrief \* MERGEFORMAT </w:instrText>
                </w:r>
                <w:r w:rsidRPr="00E451D0">
                  <w:fldChar w:fldCharType="end"/>
                </w:r>
                <w:r w:rsidRPr="00E451D0">
                  <w:instrText xml:space="preserve"> = "" "" "</w:instrText>
                </w:r>
              </w:p>
              <w:p w:rsidR="00674148" w:rsidRPr="00E451D0" w:rsidRDefault="00674148" w:rsidP="004746D8">
                <w:pPr>
                  <w:pStyle w:val="Referentiegegevenkopjes"/>
                </w:pPr>
                <w:fldSimple w:instr=" DOCPROPERTY  kUwBrief  \* MERGEFORMAT ">
                  <w:r>
                    <w:instrText>Uw referentie</w:instrText>
                  </w:r>
                </w:fldSimple>
              </w:p>
              <w:p w:rsidR="00674148" w:rsidRDefault="00674148" w:rsidP="004746D8">
                <w:pPr>
                  <w:pStyle w:val="Referentiegegevens"/>
                </w:pPr>
                <w:fldSimple w:instr=" DOCPROPERTY  iUwbrief  \* MERGEFORMAT ">
                  <w:r>
                    <w:instrText>iUwBrief</w:instrText>
                  </w:r>
                </w:fldSimple>
              </w:p>
              <w:p w:rsidR="00674148" w:rsidRPr="00E451D0" w:rsidRDefault="0067414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r w:rsidRPr="00E451D0">
                  <w:fldChar w:fldCharType="begin"/>
                </w:r>
                <w:r w:rsidRPr="00E451D0">
                  <w:instrText xml:space="preserve"> DOCPROPERTY iCC \* MERGEFORMAT </w:instrText>
                </w:r>
                <w:r w:rsidRPr="00E451D0">
                  <w:fldChar w:fldCharType="end"/>
                </w:r>
                <w:r w:rsidRPr="00E451D0">
                  <w:instrText xml:space="preserve"> = "" "" "</w:instrText>
                </w:r>
              </w:p>
              <w:p w:rsidR="00674148" w:rsidRPr="00E451D0" w:rsidRDefault="00674148" w:rsidP="004746D8">
                <w:pPr>
                  <w:pStyle w:val="Referentiegegevenkopjes"/>
                </w:pPr>
                <w:fldSimple w:instr=" DOCPROPERTY  kCC  \* MERGEFORMAT ">
                  <w:r>
                    <w:instrText>Kopie aan</w:instrText>
                  </w:r>
                </w:fldSimple>
              </w:p>
              <w:p w:rsidR="00674148" w:rsidRDefault="00674148" w:rsidP="004746D8">
                <w:pPr>
                  <w:pStyle w:val="Referentiegegevens"/>
                </w:pPr>
                <w:fldSimple w:instr=" DOCPROPERTY iCC  \* MERGEFORMAT ">
                  <w:r>
                    <w:instrText>iCC</w:instrText>
                  </w:r>
                </w:fldSimple>
              </w:p>
              <w:p w:rsidR="00674148" w:rsidRPr="00E451D0" w:rsidRDefault="00674148" w:rsidP="004746D8">
                <w:pPr>
                  <w:pStyle w:val="Referentiegegevens"/>
                </w:pPr>
                <w:r>
                  <w:instrText>"</w:instrText>
                </w:r>
                <w:r w:rsidRPr="00E451D0">
                  <w:instrText xml:space="preserve"> </w:instrText>
                </w:r>
                <w:r w:rsidRPr="00E451D0">
                  <w:fldChar w:fldCharType="end"/>
                </w:r>
                <w:r w:rsidRPr="00E451D0">
                  <w:fldChar w:fldCharType="begin"/>
                </w:r>
                <w:r w:rsidRPr="00E451D0">
                  <w:instrText xml:space="preserve"> IF </w:instrText>
                </w:r>
                <w:fldSimple w:instr=" DOCPROPERTY iBijlagen \* MERGEFORMAT ">
                  <w:r>
                    <w:instrText>Eénmeting banenafspraak</w:instrText>
                  </w:r>
                </w:fldSimple>
                <w:r w:rsidRPr="00E451D0">
                  <w:instrText xml:space="preserve"> = "" "" "</w:instrText>
                </w:r>
              </w:p>
              <w:p w:rsidR="00674148" w:rsidRPr="00E451D0" w:rsidRDefault="00674148" w:rsidP="004746D8">
                <w:pPr>
                  <w:pStyle w:val="Referentiegegevenkopjes"/>
                </w:pPr>
                <w:fldSimple w:instr=" DOCPROPERTY  kBijlagen \* MERGEFORMAT ">
                  <w:r>
                    <w:instrText>Bijlagen</w:instrText>
                  </w:r>
                </w:fldSimple>
              </w:p>
              <w:p w:rsidR="00674148" w:rsidRPr="00E451D0" w:rsidRDefault="00674148" w:rsidP="004746D8">
                <w:pPr>
                  <w:pStyle w:val="Referentiegegevens"/>
                  <w:rPr>
                    <w:noProof/>
                  </w:rPr>
                </w:pPr>
                <w:fldSimple w:instr=" DOCPROPERTY iBijlagen \* MERGEFORMAT ">
                  <w:r>
                    <w:instrText>Eénmeting banenafspraak</w:instrText>
                  </w:r>
                </w:fldSimple>
                <w:r w:rsidRPr="00E451D0">
                  <w:instrText xml:space="preserve">" </w:instrText>
                </w:r>
                <w:r>
                  <w:fldChar w:fldCharType="separate"/>
                </w:r>
              </w:p>
              <w:p w:rsidR="00674148" w:rsidRPr="00E451D0" w:rsidRDefault="00674148" w:rsidP="004746D8">
                <w:pPr>
                  <w:pStyle w:val="Referentiegegevenkopjes"/>
                  <w:rPr>
                    <w:noProof/>
                  </w:rPr>
                </w:pPr>
                <w:r>
                  <w:rPr>
                    <w:noProof/>
                  </w:rPr>
                  <w:t>Bijlagen</w:t>
                </w:r>
              </w:p>
              <w:p w:rsidR="00674148" w:rsidRDefault="00674148" w:rsidP="004746D8">
                <w:pPr>
                  <w:pStyle w:val="Referentiegegevens"/>
                </w:pPr>
                <w:r>
                  <w:rPr>
                    <w:noProof/>
                  </w:rPr>
                  <w:t>Eénmeting banenafspraak</w:t>
                </w:r>
                <w:r w:rsidRPr="00E451D0">
                  <w:fldChar w:fldCharType="end"/>
                </w:r>
              </w:p>
              <w:p w:rsidR="00674148" w:rsidRPr="00787012" w:rsidRDefault="00674148" w:rsidP="004746D8"/>
            </w:txbxContent>
          </v:textbox>
          <w10:wrap anchorx="page" anchory="page"/>
        </v:shape>
      </w:pict>
    </w:r>
  </w:p>
  <w:p w:rsidR="00674148" w:rsidRPr="006420C1" w:rsidRDefault="00674148">
    <w:pPr>
      <w:pStyle w:val="Koptekst"/>
    </w:pPr>
  </w:p>
  <w:p w:rsidR="00674148" w:rsidRPr="006420C1" w:rsidRDefault="00674148">
    <w:pPr>
      <w:pStyle w:val="Koptekst"/>
    </w:pPr>
  </w:p>
  <w:p w:rsidR="00674148" w:rsidRPr="006420C1" w:rsidRDefault="00674148">
    <w:pPr>
      <w:pStyle w:val="Koptekst"/>
    </w:pPr>
  </w:p>
  <w:p w:rsidR="00674148" w:rsidRPr="006420C1" w:rsidRDefault="00674148">
    <w:pPr>
      <w:pStyle w:val="Koptekst"/>
    </w:pPr>
  </w:p>
  <w:p w:rsidR="00674148" w:rsidRPr="006420C1" w:rsidRDefault="00674148">
    <w:pPr>
      <w:pStyle w:val="Koptekst"/>
    </w:pPr>
  </w:p>
  <w:p w:rsidR="00674148" w:rsidRPr="006420C1" w:rsidRDefault="00674148">
    <w:pPr>
      <w:pStyle w:val="Koptekst"/>
    </w:pPr>
  </w:p>
  <w:p w:rsidR="00674148" w:rsidRPr="006420C1" w:rsidRDefault="00674148">
    <w:pPr>
      <w:pStyle w:val="Koptekst"/>
    </w:pPr>
  </w:p>
  <w:p w:rsidR="00674148" w:rsidRPr="006420C1" w:rsidRDefault="00674148">
    <w:pPr>
      <w:pStyle w:val="Koptekst"/>
    </w:pPr>
  </w:p>
  <w:tbl>
    <w:tblPr>
      <w:tblW w:w="7651" w:type="dxa"/>
      <w:tblLayout w:type="fixed"/>
      <w:tblCellMar>
        <w:left w:w="0" w:type="dxa"/>
        <w:right w:w="0" w:type="dxa"/>
      </w:tblCellMar>
      <w:tblLook w:val="01E0"/>
    </w:tblPr>
    <w:tblGrid>
      <w:gridCol w:w="742"/>
      <w:gridCol w:w="6909"/>
    </w:tblGrid>
    <w:tr w:rsidR="00674148" w:rsidRPr="006420C1" w:rsidTr="00693FAE">
      <w:trPr>
        <w:trHeight w:val="2625"/>
      </w:trPr>
      <w:tc>
        <w:tcPr>
          <w:tcW w:w="7651" w:type="dxa"/>
          <w:gridSpan w:val="2"/>
        </w:tcPr>
        <w:p w:rsidR="00674148" w:rsidRPr="006420C1" w:rsidRDefault="00674148" w:rsidP="00422937">
          <w:pPr>
            <w:pStyle w:val="Retouradres"/>
          </w:pPr>
          <w:fldSimple w:instr=" DOCPROPERTY  kRetouradres  \* MERGEFORMAT ">
            <w:r>
              <w:t>&gt; Retouradres</w:t>
            </w:r>
          </w:fldSimple>
          <w:r w:rsidRPr="006420C1">
            <w:t xml:space="preserve"> </w:t>
          </w:r>
          <w:fldSimple w:instr=" DOCPROPERTY  iRetouradres  \* MERGEFORMAT ">
            <w:r>
              <w:t>Postbus 90801 2509 LV  Den Haag</w:t>
            </w:r>
          </w:fldSimple>
        </w:p>
        <w:p w:rsidR="00674148" w:rsidRDefault="00674148" w:rsidP="00422937">
          <w:pPr>
            <w:pStyle w:val="Toezendgegevens"/>
          </w:pPr>
          <w:r w:rsidRPr="006420C1">
            <w:fldChar w:fldCharType="begin"/>
          </w:r>
          <w:r w:rsidRPr="006420C1">
            <w:instrText xml:space="preserve"> DOCPROPERTY  iAdressering  \* MERGEFORMAT </w:instrText>
          </w:r>
          <w:r w:rsidRPr="006420C1">
            <w:fldChar w:fldCharType="separate"/>
          </w:r>
          <w:r>
            <w:t>De Voorzitter van de Tweede Kamer</w:t>
          </w:r>
        </w:p>
        <w:p w:rsidR="00674148" w:rsidRPr="006420C1" w:rsidRDefault="00674148" w:rsidP="00422937">
          <w:pPr>
            <w:pStyle w:val="Toezendgegevens"/>
          </w:pPr>
          <w:r>
            <w:t>der Staten-Generaal</w:t>
          </w:r>
          <w:r w:rsidRPr="006420C1">
            <w:fldChar w:fldCharType="end"/>
          </w:r>
        </w:p>
        <w:p w:rsidR="00674148" w:rsidRPr="006420C1" w:rsidRDefault="00674148" w:rsidP="00422937">
          <w:pPr>
            <w:pStyle w:val="Toezendgegevens"/>
          </w:pPr>
          <w:fldSimple w:instr=" DOCPROPERTY  iStraat  \* MERGEFORMAT ">
            <w:r>
              <w:t>Binnenhof</w:t>
            </w:r>
          </w:fldSimple>
          <w:r w:rsidRPr="006420C1">
            <w:t xml:space="preserve"> </w:t>
          </w:r>
          <w:fldSimple w:instr=" DOCPROPERTY  iNr  \* MERGEFORMAT ">
            <w:r>
              <w:t>1</w:t>
            </w:r>
          </w:fldSimple>
          <w:r w:rsidRPr="006420C1">
            <w:t xml:space="preserve"> </w:t>
          </w:r>
          <w:fldSimple w:instr=" DOCPROPERTY  iToev  \* MERGEFORMAT ">
            <w:r>
              <w:t>A</w:t>
            </w:r>
          </w:fldSimple>
        </w:p>
        <w:p w:rsidR="00674148" w:rsidRPr="006420C1" w:rsidRDefault="00674148" w:rsidP="00422937">
          <w:pPr>
            <w:pStyle w:val="Toezendgegevens"/>
          </w:pPr>
          <w:fldSimple w:instr=" DOCPROPERTY  iPostcode  \* MERGEFORMAT ">
            <w:r>
              <w:t>2513 AA</w:t>
            </w:r>
          </w:fldSimple>
          <w:r w:rsidRPr="006420C1">
            <w:t xml:space="preserve">  </w:t>
          </w:r>
          <w:fldSimple w:instr=" DOCPROPERTY  iPlaats  \* MERGEFORMAT ">
            <w:r>
              <w:t>S GRAVENHAGE</w:t>
            </w:r>
          </w:fldSimple>
        </w:p>
        <w:p w:rsidR="00674148" w:rsidRPr="006420C1" w:rsidRDefault="00674148" w:rsidP="00693FAE">
          <w:pPr>
            <w:pStyle w:val="KixCode"/>
            <w:spacing w:line="240" w:lineRule="atLeast"/>
          </w:pPr>
          <w:fldSimple w:instr=" DOCPROPERTY  iKixCode  \* MERGEFORMAT ">
            <w:r>
              <w:t>2513AA22XA</w:t>
            </w:r>
          </w:fldSimple>
        </w:p>
      </w:tc>
    </w:tr>
    <w:tr w:rsidR="00674148" w:rsidRPr="006420C1" w:rsidTr="00693FAE">
      <w:trPr>
        <w:trHeight w:hRule="exact" w:val="240"/>
      </w:trPr>
      <w:tc>
        <w:tcPr>
          <w:tcW w:w="742" w:type="dxa"/>
        </w:tcPr>
        <w:p w:rsidR="00674148" w:rsidRPr="006420C1" w:rsidRDefault="00674148" w:rsidP="00422937">
          <w:fldSimple w:instr=" DOCPROPERTY  kDatum  \* MERGEFORMAT ">
            <w:r>
              <w:t>Datum</w:t>
            </w:r>
          </w:fldSimple>
          <w:r w:rsidRPr="006420C1">
            <w:t xml:space="preserve"> </w:t>
          </w:r>
        </w:p>
      </w:tc>
      <w:tc>
        <w:tcPr>
          <w:tcW w:w="6909" w:type="dxa"/>
        </w:tcPr>
        <w:p w:rsidR="00674148" w:rsidRDefault="00674148" w:rsidP="00422937">
          <w:r w:rsidRPr="006420C1">
            <w:fldChar w:fldCharType="begin"/>
          </w:r>
          <w:r w:rsidRPr="006420C1">
            <w:instrText xml:space="preserve"> IF </w:instrText>
          </w:r>
          <w:fldSimple w:instr=" DOCPROPERTY  iChkDatum  \* MERGEFORMAT ">
            <w:r w:rsidRPr="006420C1">
              <w:rPr>
                <w:bCs/>
              </w:rPr>
              <w:instrText>-1</w:instrText>
            </w:r>
          </w:fldSimple>
          <w:r w:rsidRPr="006420C1">
            <w:instrText xml:space="preserve"> = "0" "" "</w:instrText>
          </w:r>
          <w:r w:rsidRPr="006420C1">
            <w:fldChar w:fldCharType="begin"/>
          </w:r>
          <w:r w:rsidRPr="006420C1">
            <w:instrText xml:space="preserve"> DOCPROPERTY  iDatum  \@ "d MMMM yyyy" </w:instrText>
          </w:r>
          <w:r w:rsidRPr="006420C1">
            <w:fldChar w:fldCharType="separate"/>
          </w:r>
        </w:p>
        <w:p w:rsidR="00674148" w:rsidRDefault="00674148" w:rsidP="00422937">
          <w:pPr>
            <w:rPr>
              <w:noProof/>
            </w:rPr>
          </w:pPr>
          <w:r w:rsidRPr="006420C1">
            <w:fldChar w:fldCharType="end"/>
          </w:r>
          <w:r w:rsidRPr="006420C1">
            <w:instrText xml:space="preserve">"  </w:instrText>
          </w:r>
          <w:r w:rsidRPr="006420C1">
            <w:fldChar w:fldCharType="separate"/>
          </w:r>
        </w:p>
        <w:p w:rsidR="00674148" w:rsidRPr="006420C1" w:rsidRDefault="00674148" w:rsidP="00422937">
          <w:r w:rsidRPr="006420C1">
            <w:fldChar w:fldCharType="end"/>
          </w:r>
        </w:p>
      </w:tc>
    </w:tr>
    <w:tr w:rsidR="00674148" w:rsidRPr="006420C1" w:rsidTr="00693FAE">
      <w:trPr>
        <w:trHeight w:val="448"/>
      </w:trPr>
      <w:tc>
        <w:tcPr>
          <w:tcW w:w="742" w:type="dxa"/>
        </w:tcPr>
        <w:p w:rsidR="00674148" w:rsidRPr="006420C1" w:rsidRDefault="00674148" w:rsidP="00422937">
          <w:fldSimple w:instr=" DOCPROPERTY  kOnderwerp  \* MERGEFORMAT ">
            <w:r>
              <w:t>Betreft</w:t>
            </w:r>
          </w:fldSimple>
        </w:p>
      </w:tc>
      <w:tc>
        <w:tcPr>
          <w:tcW w:w="6909" w:type="dxa"/>
        </w:tcPr>
        <w:p w:rsidR="00674148" w:rsidRPr="006420C1" w:rsidRDefault="00674148" w:rsidP="00422937">
          <w:fldSimple w:instr=" DOCPROPERTY  iOnderwerp  \* MERGEFORMAT ">
            <w:r>
              <w:t>Resultaten één-meting banenafspraak</w:t>
            </w:r>
          </w:fldSimple>
        </w:p>
      </w:tc>
    </w:tr>
  </w:tbl>
  <w:p w:rsidR="00674148" w:rsidRPr="006420C1" w:rsidRDefault="00336E20">
    <w:pPr>
      <w:pStyle w:val="Koptekst"/>
    </w:pPr>
    <w:r>
      <w:rPr>
        <w:noProof/>
      </w:rPr>
      <w:drawing>
        <wp:anchor distT="0" distB="0" distL="114300" distR="114300" simplePos="0" relativeHeight="251658752"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3"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036440BA"/>
    <w:multiLevelType w:val="hybridMultilevel"/>
    <w:tmpl w:val="64C66E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077366D4"/>
    <w:multiLevelType w:val="hybridMultilevel"/>
    <w:tmpl w:val="23E2D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EF523AC"/>
    <w:multiLevelType w:val="hybridMultilevel"/>
    <w:tmpl w:val="E2A436C0"/>
    <w:lvl w:ilvl="0">
      <w:numFmt w:val="bullet"/>
      <w:lvlText w:val=""/>
      <w:lvlJc w:val="left"/>
      <w:pPr>
        <w:tabs>
          <w:tab w:val="num" w:pos="440"/>
        </w:tabs>
        <w:ind w:left="440" w:hanging="44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stylePaneFormatFilter w:val="3F01"/>
  <w:defaultTabStop w:val="708"/>
  <w:hyphenationZone w:val="425"/>
  <w:drawingGridHorizontalSpacing w:val="90"/>
  <w:displayHorizontalDrawingGridEvery w:val="0"/>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FELayout/>
  </w:compat>
  <w:docVars>
    <w:docVar w:name="VersieNr" w:val="4"/>
  </w:docVars>
  <w:rsids>
    <w:rsidRoot w:val="00693FAE"/>
    <w:rsid w:val="00005784"/>
    <w:rsid w:val="00006528"/>
    <w:rsid w:val="000141F3"/>
    <w:rsid w:val="000150BD"/>
    <w:rsid w:val="000208A7"/>
    <w:rsid w:val="000219F6"/>
    <w:rsid w:val="00032CB9"/>
    <w:rsid w:val="000357CF"/>
    <w:rsid w:val="00040CA1"/>
    <w:rsid w:val="0005240B"/>
    <w:rsid w:val="00052EF0"/>
    <w:rsid w:val="00056792"/>
    <w:rsid w:val="0006717D"/>
    <w:rsid w:val="00067F65"/>
    <w:rsid w:val="00070EA9"/>
    <w:rsid w:val="00084049"/>
    <w:rsid w:val="00084827"/>
    <w:rsid w:val="0008502F"/>
    <w:rsid w:val="00085975"/>
    <w:rsid w:val="00086405"/>
    <w:rsid w:val="0009257F"/>
    <w:rsid w:val="000A22E2"/>
    <w:rsid w:val="000A2722"/>
    <w:rsid w:val="000A329E"/>
    <w:rsid w:val="000D1455"/>
    <w:rsid w:val="000F21F9"/>
    <w:rsid w:val="001028DC"/>
    <w:rsid w:val="00103C63"/>
    <w:rsid w:val="001045D5"/>
    <w:rsid w:val="00105F1D"/>
    <w:rsid w:val="0010613D"/>
    <w:rsid w:val="00106C5B"/>
    <w:rsid w:val="00110194"/>
    <w:rsid w:val="00112FCD"/>
    <w:rsid w:val="00113255"/>
    <w:rsid w:val="00120A00"/>
    <w:rsid w:val="00125D01"/>
    <w:rsid w:val="001319BF"/>
    <w:rsid w:val="001410C6"/>
    <w:rsid w:val="00141475"/>
    <w:rsid w:val="00147C42"/>
    <w:rsid w:val="00154BF3"/>
    <w:rsid w:val="00174171"/>
    <w:rsid w:val="00180368"/>
    <w:rsid w:val="00182382"/>
    <w:rsid w:val="00182B62"/>
    <w:rsid w:val="00190FDA"/>
    <w:rsid w:val="0019174A"/>
    <w:rsid w:val="001938BE"/>
    <w:rsid w:val="001942CB"/>
    <w:rsid w:val="001963B8"/>
    <w:rsid w:val="0019730D"/>
    <w:rsid w:val="001A1C41"/>
    <w:rsid w:val="001A2B74"/>
    <w:rsid w:val="001A31FD"/>
    <w:rsid w:val="001A5828"/>
    <w:rsid w:val="001B40D3"/>
    <w:rsid w:val="001C799E"/>
    <w:rsid w:val="001D1EAC"/>
    <w:rsid w:val="001F1EBA"/>
    <w:rsid w:val="001F4F9F"/>
    <w:rsid w:val="001F67B7"/>
    <w:rsid w:val="001F7A45"/>
    <w:rsid w:val="0020202A"/>
    <w:rsid w:val="00210AA8"/>
    <w:rsid w:val="00215ACD"/>
    <w:rsid w:val="00227FE8"/>
    <w:rsid w:val="00232BC9"/>
    <w:rsid w:val="00236332"/>
    <w:rsid w:val="00240898"/>
    <w:rsid w:val="00242F5F"/>
    <w:rsid w:val="00251B4A"/>
    <w:rsid w:val="00257B28"/>
    <w:rsid w:val="002628DB"/>
    <w:rsid w:val="00264655"/>
    <w:rsid w:val="002646D9"/>
    <w:rsid w:val="00264A4C"/>
    <w:rsid w:val="0026646D"/>
    <w:rsid w:val="00266BFF"/>
    <w:rsid w:val="00272106"/>
    <w:rsid w:val="00273C3B"/>
    <w:rsid w:val="00274435"/>
    <w:rsid w:val="002812A0"/>
    <w:rsid w:val="002852CC"/>
    <w:rsid w:val="0029021F"/>
    <w:rsid w:val="00291940"/>
    <w:rsid w:val="002919B9"/>
    <w:rsid w:val="00292205"/>
    <w:rsid w:val="00292BCA"/>
    <w:rsid w:val="002946D9"/>
    <w:rsid w:val="002A2D44"/>
    <w:rsid w:val="002A3BCE"/>
    <w:rsid w:val="002B3D81"/>
    <w:rsid w:val="002B5501"/>
    <w:rsid w:val="002C169E"/>
    <w:rsid w:val="002C5CB0"/>
    <w:rsid w:val="002C63B6"/>
    <w:rsid w:val="002D7A86"/>
    <w:rsid w:val="002E4CF1"/>
    <w:rsid w:val="002E7996"/>
    <w:rsid w:val="002F605A"/>
    <w:rsid w:val="002F6A3D"/>
    <w:rsid w:val="00311355"/>
    <w:rsid w:val="003117C6"/>
    <w:rsid w:val="00322E20"/>
    <w:rsid w:val="00323B84"/>
    <w:rsid w:val="00327AB7"/>
    <w:rsid w:val="0033258A"/>
    <w:rsid w:val="003345EA"/>
    <w:rsid w:val="00336E20"/>
    <w:rsid w:val="00341DDB"/>
    <w:rsid w:val="003468E2"/>
    <w:rsid w:val="003554CD"/>
    <w:rsid w:val="00355FA3"/>
    <w:rsid w:val="00372347"/>
    <w:rsid w:val="003763D3"/>
    <w:rsid w:val="00377327"/>
    <w:rsid w:val="00387154"/>
    <w:rsid w:val="00391DE4"/>
    <w:rsid w:val="003926FB"/>
    <w:rsid w:val="00393DD0"/>
    <w:rsid w:val="00394348"/>
    <w:rsid w:val="003A14A1"/>
    <w:rsid w:val="003B071E"/>
    <w:rsid w:val="003B45CE"/>
    <w:rsid w:val="003B736A"/>
    <w:rsid w:val="003C697A"/>
    <w:rsid w:val="003D0636"/>
    <w:rsid w:val="003D61F5"/>
    <w:rsid w:val="003E0A00"/>
    <w:rsid w:val="003E25A9"/>
    <w:rsid w:val="003E40C4"/>
    <w:rsid w:val="003F0CF2"/>
    <w:rsid w:val="003F253B"/>
    <w:rsid w:val="003F6618"/>
    <w:rsid w:val="00422937"/>
    <w:rsid w:val="004258FE"/>
    <w:rsid w:val="00425DF0"/>
    <w:rsid w:val="00431C35"/>
    <w:rsid w:val="00442224"/>
    <w:rsid w:val="0044266A"/>
    <w:rsid w:val="00442B46"/>
    <w:rsid w:val="00443308"/>
    <w:rsid w:val="00447AB6"/>
    <w:rsid w:val="00447E9B"/>
    <w:rsid w:val="00450C05"/>
    <w:rsid w:val="00452BBD"/>
    <w:rsid w:val="004558EB"/>
    <w:rsid w:val="00456B40"/>
    <w:rsid w:val="0046402C"/>
    <w:rsid w:val="00470DE7"/>
    <w:rsid w:val="00471501"/>
    <w:rsid w:val="004746D8"/>
    <w:rsid w:val="00481A8A"/>
    <w:rsid w:val="00482B9B"/>
    <w:rsid w:val="004952CF"/>
    <w:rsid w:val="004A58CD"/>
    <w:rsid w:val="004B7321"/>
    <w:rsid w:val="004C7BE2"/>
    <w:rsid w:val="004D0622"/>
    <w:rsid w:val="004D3AB3"/>
    <w:rsid w:val="004E5DD8"/>
    <w:rsid w:val="004F5627"/>
    <w:rsid w:val="004F625A"/>
    <w:rsid w:val="0050176C"/>
    <w:rsid w:val="00506E50"/>
    <w:rsid w:val="00506FFE"/>
    <w:rsid w:val="00520F35"/>
    <w:rsid w:val="0052587C"/>
    <w:rsid w:val="00530FA1"/>
    <w:rsid w:val="00531101"/>
    <w:rsid w:val="00535083"/>
    <w:rsid w:val="00537DFD"/>
    <w:rsid w:val="00560E7B"/>
    <w:rsid w:val="00572770"/>
    <w:rsid w:val="005728F1"/>
    <w:rsid w:val="005741EF"/>
    <w:rsid w:val="00574C63"/>
    <w:rsid w:val="00581627"/>
    <w:rsid w:val="00582BE3"/>
    <w:rsid w:val="00582E34"/>
    <w:rsid w:val="005960B7"/>
    <w:rsid w:val="005A3453"/>
    <w:rsid w:val="005A420F"/>
    <w:rsid w:val="005B489B"/>
    <w:rsid w:val="005C07D3"/>
    <w:rsid w:val="005C323D"/>
    <w:rsid w:val="005E7F77"/>
    <w:rsid w:val="005F0A25"/>
    <w:rsid w:val="005F14CB"/>
    <w:rsid w:val="005F3145"/>
    <w:rsid w:val="005F41C7"/>
    <w:rsid w:val="00600933"/>
    <w:rsid w:val="00604633"/>
    <w:rsid w:val="00604FE9"/>
    <w:rsid w:val="00611072"/>
    <w:rsid w:val="006124CD"/>
    <w:rsid w:val="006124F1"/>
    <w:rsid w:val="00623B30"/>
    <w:rsid w:val="00625C04"/>
    <w:rsid w:val="0062734D"/>
    <w:rsid w:val="00631C2F"/>
    <w:rsid w:val="006355DB"/>
    <w:rsid w:val="006420C1"/>
    <w:rsid w:val="00651214"/>
    <w:rsid w:val="006600B8"/>
    <w:rsid w:val="00661F24"/>
    <w:rsid w:val="006724A5"/>
    <w:rsid w:val="00672F16"/>
    <w:rsid w:val="00674148"/>
    <w:rsid w:val="006742C4"/>
    <w:rsid w:val="0067780E"/>
    <w:rsid w:val="0068066D"/>
    <w:rsid w:val="00682A41"/>
    <w:rsid w:val="00691583"/>
    <w:rsid w:val="00693FAE"/>
    <w:rsid w:val="00697135"/>
    <w:rsid w:val="006A083D"/>
    <w:rsid w:val="006A1C12"/>
    <w:rsid w:val="006A2424"/>
    <w:rsid w:val="006A4BD9"/>
    <w:rsid w:val="006B10A5"/>
    <w:rsid w:val="006B6B1C"/>
    <w:rsid w:val="006C1804"/>
    <w:rsid w:val="006D367B"/>
    <w:rsid w:val="006E2023"/>
    <w:rsid w:val="006E3D2B"/>
    <w:rsid w:val="006E5C7B"/>
    <w:rsid w:val="007026EE"/>
    <w:rsid w:val="00706F88"/>
    <w:rsid w:val="00717E98"/>
    <w:rsid w:val="00730FA4"/>
    <w:rsid w:val="00740B00"/>
    <w:rsid w:val="00755140"/>
    <w:rsid w:val="00756747"/>
    <w:rsid w:val="0076031D"/>
    <w:rsid w:val="007609FC"/>
    <w:rsid w:val="00766AD2"/>
    <w:rsid w:val="00771779"/>
    <w:rsid w:val="00771D30"/>
    <w:rsid w:val="00775A48"/>
    <w:rsid w:val="00780371"/>
    <w:rsid w:val="00787012"/>
    <w:rsid w:val="007946F1"/>
    <w:rsid w:val="007968A5"/>
    <w:rsid w:val="00796CB3"/>
    <w:rsid w:val="007B00E2"/>
    <w:rsid w:val="007C1BCB"/>
    <w:rsid w:val="007D5F8A"/>
    <w:rsid w:val="007F0133"/>
    <w:rsid w:val="007F3F06"/>
    <w:rsid w:val="00801B51"/>
    <w:rsid w:val="00813A8E"/>
    <w:rsid w:val="008178D2"/>
    <w:rsid w:val="0082101D"/>
    <w:rsid w:val="00821CC0"/>
    <w:rsid w:val="00834E39"/>
    <w:rsid w:val="00837C91"/>
    <w:rsid w:val="00840E8F"/>
    <w:rsid w:val="008451AB"/>
    <w:rsid w:val="008518A9"/>
    <w:rsid w:val="008570BB"/>
    <w:rsid w:val="00876ACF"/>
    <w:rsid w:val="0087777A"/>
    <w:rsid w:val="0088147C"/>
    <w:rsid w:val="0088246B"/>
    <w:rsid w:val="008A1B1D"/>
    <w:rsid w:val="008B31F1"/>
    <w:rsid w:val="008B5FDD"/>
    <w:rsid w:val="008B6A4F"/>
    <w:rsid w:val="008B75CF"/>
    <w:rsid w:val="008C7E7C"/>
    <w:rsid w:val="008D0582"/>
    <w:rsid w:val="008D6477"/>
    <w:rsid w:val="008E3846"/>
    <w:rsid w:val="008E6169"/>
    <w:rsid w:val="008F2BF2"/>
    <w:rsid w:val="00904D4E"/>
    <w:rsid w:val="00906E05"/>
    <w:rsid w:val="00906F7B"/>
    <w:rsid w:val="00910B92"/>
    <w:rsid w:val="00911014"/>
    <w:rsid w:val="00911671"/>
    <w:rsid w:val="00915096"/>
    <w:rsid w:val="009172C1"/>
    <w:rsid w:val="00920B9A"/>
    <w:rsid w:val="00923BDA"/>
    <w:rsid w:val="00926AF5"/>
    <w:rsid w:val="00933DEC"/>
    <w:rsid w:val="009367CE"/>
    <w:rsid w:val="00946A7B"/>
    <w:rsid w:val="00950627"/>
    <w:rsid w:val="009506A1"/>
    <w:rsid w:val="009603CE"/>
    <w:rsid w:val="00962A8D"/>
    <w:rsid w:val="00967ABC"/>
    <w:rsid w:val="009734B6"/>
    <w:rsid w:val="00973666"/>
    <w:rsid w:val="009741A7"/>
    <w:rsid w:val="0098065E"/>
    <w:rsid w:val="00990917"/>
    <w:rsid w:val="0099729C"/>
    <w:rsid w:val="009A653A"/>
    <w:rsid w:val="009B53C1"/>
    <w:rsid w:val="009B5CC8"/>
    <w:rsid w:val="009B65A0"/>
    <w:rsid w:val="009B746E"/>
    <w:rsid w:val="009C07E1"/>
    <w:rsid w:val="009C0819"/>
    <w:rsid w:val="009C671E"/>
    <w:rsid w:val="009D4017"/>
    <w:rsid w:val="009D5245"/>
    <w:rsid w:val="009D73D5"/>
    <w:rsid w:val="00A018C1"/>
    <w:rsid w:val="00A03EB1"/>
    <w:rsid w:val="00A07A30"/>
    <w:rsid w:val="00A200C0"/>
    <w:rsid w:val="00A32D80"/>
    <w:rsid w:val="00A560FA"/>
    <w:rsid w:val="00A61EFD"/>
    <w:rsid w:val="00A71388"/>
    <w:rsid w:val="00A73F3A"/>
    <w:rsid w:val="00A875AF"/>
    <w:rsid w:val="00A87E26"/>
    <w:rsid w:val="00A96E20"/>
    <w:rsid w:val="00AA180C"/>
    <w:rsid w:val="00AA1F56"/>
    <w:rsid w:val="00AA2083"/>
    <w:rsid w:val="00AA21FC"/>
    <w:rsid w:val="00AA3691"/>
    <w:rsid w:val="00AA505A"/>
    <w:rsid w:val="00AB0A46"/>
    <w:rsid w:val="00AC0725"/>
    <w:rsid w:val="00AC1CC2"/>
    <w:rsid w:val="00AC6E57"/>
    <w:rsid w:val="00AD264A"/>
    <w:rsid w:val="00AE71AE"/>
    <w:rsid w:val="00B029BA"/>
    <w:rsid w:val="00B0641C"/>
    <w:rsid w:val="00B14BB0"/>
    <w:rsid w:val="00B156A3"/>
    <w:rsid w:val="00B1663D"/>
    <w:rsid w:val="00B2274A"/>
    <w:rsid w:val="00B2327A"/>
    <w:rsid w:val="00B23DC0"/>
    <w:rsid w:val="00B24EF2"/>
    <w:rsid w:val="00B339CC"/>
    <w:rsid w:val="00B5173D"/>
    <w:rsid w:val="00B52F7B"/>
    <w:rsid w:val="00B54854"/>
    <w:rsid w:val="00B66643"/>
    <w:rsid w:val="00B70ADC"/>
    <w:rsid w:val="00B70F84"/>
    <w:rsid w:val="00B71AEA"/>
    <w:rsid w:val="00B820BF"/>
    <w:rsid w:val="00B82BC2"/>
    <w:rsid w:val="00B85D53"/>
    <w:rsid w:val="00B86699"/>
    <w:rsid w:val="00B9558D"/>
    <w:rsid w:val="00BA2810"/>
    <w:rsid w:val="00BB4EA9"/>
    <w:rsid w:val="00BB5F42"/>
    <w:rsid w:val="00BB65B4"/>
    <w:rsid w:val="00BE3C31"/>
    <w:rsid w:val="00BF06B5"/>
    <w:rsid w:val="00BF335A"/>
    <w:rsid w:val="00BF4C42"/>
    <w:rsid w:val="00BF6795"/>
    <w:rsid w:val="00BF7676"/>
    <w:rsid w:val="00C0240F"/>
    <w:rsid w:val="00C03CA8"/>
    <w:rsid w:val="00C05D3C"/>
    <w:rsid w:val="00C1563A"/>
    <w:rsid w:val="00C20D3C"/>
    <w:rsid w:val="00C22A48"/>
    <w:rsid w:val="00C27D5C"/>
    <w:rsid w:val="00C3382E"/>
    <w:rsid w:val="00C41709"/>
    <w:rsid w:val="00C44BD6"/>
    <w:rsid w:val="00C46BA0"/>
    <w:rsid w:val="00C617AF"/>
    <w:rsid w:val="00C650F5"/>
    <w:rsid w:val="00C6767D"/>
    <w:rsid w:val="00C67BD3"/>
    <w:rsid w:val="00C76F24"/>
    <w:rsid w:val="00C80BDB"/>
    <w:rsid w:val="00C86F9C"/>
    <w:rsid w:val="00C91626"/>
    <w:rsid w:val="00C92453"/>
    <w:rsid w:val="00CA223E"/>
    <w:rsid w:val="00CB3F19"/>
    <w:rsid w:val="00CB6103"/>
    <w:rsid w:val="00CC17A4"/>
    <w:rsid w:val="00CC5B34"/>
    <w:rsid w:val="00CC606C"/>
    <w:rsid w:val="00CC6DB4"/>
    <w:rsid w:val="00CD1515"/>
    <w:rsid w:val="00CD2741"/>
    <w:rsid w:val="00CE48AD"/>
    <w:rsid w:val="00CE798D"/>
    <w:rsid w:val="00CF1577"/>
    <w:rsid w:val="00CF519B"/>
    <w:rsid w:val="00CF553D"/>
    <w:rsid w:val="00D11900"/>
    <w:rsid w:val="00D11A89"/>
    <w:rsid w:val="00D16CE1"/>
    <w:rsid w:val="00D20209"/>
    <w:rsid w:val="00D2395C"/>
    <w:rsid w:val="00D24585"/>
    <w:rsid w:val="00D41FF3"/>
    <w:rsid w:val="00D4206C"/>
    <w:rsid w:val="00D43DED"/>
    <w:rsid w:val="00D50B72"/>
    <w:rsid w:val="00D52D87"/>
    <w:rsid w:val="00D53F20"/>
    <w:rsid w:val="00D603F0"/>
    <w:rsid w:val="00D62EE3"/>
    <w:rsid w:val="00D65816"/>
    <w:rsid w:val="00D72225"/>
    <w:rsid w:val="00D923D1"/>
    <w:rsid w:val="00D949B7"/>
    <w:rsid w:val="00DC2712"/>
    <w:rsid w:val="00DC3347"/>
    <w:rsid w:val="00DC7430"/>
    <w:rsid w:val="00DD79B0"/>
    <w:rsid w:val="00DE0AA2"/>
    <w:rsid w:val="00DE5560"/>
    <w:rsid w:val="00DE681B"/>
    <w:rsid w:val="00DE7165"/>
    <w:rsid w:val="00E01D1F"/>
    <w:rsid w:val="00E02C75"/>
    <w:rsid w:val="00E049D2"/>
    <w:rsid w:val="00E20827"/>
    <w:rsid w:val="00E211D9"/>
    <w:rsid w:val="00E277F5"/>
    <w:rsid w:val="00E40BA7"/>
    <w:rsid w:val="00E42AA8"/>
    <w:rsid w:val="00E430A3"/>
    <w:rsid w:val="00E43CC1"/>
    <w:rsid w:val="00E44415"/>
    <w:rsid w:val="00E532B9"/>
    <w:rsid w:val="00E53ED0"/>
    <w:rsid w:val="00E54A08"/>
    <w:rsid w:val="00E55437"/>
    <w:rsid w:val="00E56F87"/>
    <w:rsid w:val="00E723FD"/>
    <w:rsid w:val="00E7244F"/>
    <w:rsid w:val="00E73F30"/>
    <w:rsid w:val="00E76314"/>
    <w:rsid w:val="00E95DB7"/>
    <w:rsid w:val="00E96D45"/>
    <w:rsid w:val="00EA752D"/>
    <w:rsid w:val="00EA7E8E"/>
    <w:rsid w:val="00EB5B02"/>
    <w:rsid w:val="00ED04DB"/>
    <w:rsid w:val="00ED30DA"/>
    <w:rsid w:val="00ED5693"/>
    <w:rsid w:val="00EF5E38"/>
    <w:rsid w:val="00EF7838"/>
    <w:rsid w:val="00F047FA"/>
    <w:rsid w:val="00F22CF8"/>
    <w:rsid w:val="00F24031"/>
    <w:rsid w:val="00F27C80"/>
    <w:rsid w:val="00F30972"/>
    <w:rsid w:val="00F37D76"/>
    <w:rsid w:val="00F40FFF"/>
    <w:rsid w:val="00F432EE"/>
    <w:rsid w:val="00F43B45"/>
    <w:rsid w:val="00F453D7"/>
    <w:rsid w:val="00F5107B"/>
    <w:rsid w:val="00F5648C"/>
    <w:rsid w:val="00F61BB5"/>
    <w:rsid w:val="00F66A62"/>
    <w:rsid w:val="00F80D3F"/>
    <w:rsid w:val="00F92286"/>
    <w:rsid w:val="00F92A46"/>
    <w:rsid w:val="00FA543F"/>
    <w:rsid w:val="00FB1782"/>
    <w:rsid w:val="00FC3563"/>
    <w:rsid w:val="00FE661D"/>
    <w:rsid w:val="00FF45B6"/>
    <w:rsid w:val="00FF524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pPr>
      <w:shd w:val="clear" w:color="auto" w:fill="000080"/>
    </w:pPr>
    <w:rPr>
      <w:rFonts w:ascii="Tahoma" w:hAnsi="Tahoma" w:cs="Tahoma"/>
    </w:rPr>
  </w:style>
  <w:style w:type="paragraph" w:customStyle="1" w:styleId="KixCode">
    <w:name w:val="KixCode"/>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paragraph" w:customStyle="1" w:styleId="Default">
    <w:name w:val="Default"/>
    <w:rsid w:val="00E20827"/>
    <w:pPr>
      <w:autoSpaceDE w:val="0"/>
      <w:autoSpaceDN w:val="0"/>
      <w:adjustRightInd w:val="0"/>
    </w:pPr>
    <w:rPr>
      <w:rFonts w:ascii="Verdana" w:hAnsi="Verdana" w:cs="Verdana"/>
      <w:color w:val="000000"/>
      <w:sz w:val="24"/>
      <w:szCs w:val="24"/>
    </w:rPr>
  </w:style>
  <w:style w:type="table" w:styleId="Eenvoudigetabel2">
    <w:name w:val="Table Simple 2"/>
    <w:basedOn w:val="Standaardtabel"/>
    <w:rsid w:val="00FB1782"/>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Klassieketabel1">
    <w:name w:val="Table Classic 1"/>
    <w:basedOn w:val="Standaardtabel"/>
    <w:rsid w:val="0098065E"/>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igentijdsetabel">
    <w:name w:val="Table Contemporary"/>
    <w:basedOn w:val="Standaardtabel"/>
    <w:rsid w:val="0098065E"/>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jstalinea">
    <w:name w:val="List Paragraph"/>
    <w:basedOn w:val="Standaard"/>
    <w:uiPriority w:val="34"/>
    <w:qFormat/>
    <w:rsid w:val="00730FA4"/>
    <w:pPr>
      <w:spacing w:line="240" w:lineRule="auto"/>
      <w:ind w:left="720"/>
    </w:pPr>
    <w:rPr>
      <w:rFonts w:ascii="Calibri" w:eastAsia="Calibri" w:hAnsi="Calibri" w:cs="Calibri"/>
      <w:sz w:val="22"/>
      <w:szCs w:val="22"/>
    </w:rPr>
  </w:style>
  <w:style w:type="paragraph" w:styleId="Voetnoottekst">
    <w:name w:val="footnote text"/>
    <w:basedOn w:val="Standaard"/>
    <w:link w:val="VoetnoottekstChar"/>
    <w:rsid w:val="00840E8F"/>
    <w:rPr>
      <w:sz w:val="20"/>
    </w:rPr>
  </w:style>
  <w:style w:type="character" w:customStyle="1" w:styleId="VoetnoottekstChar">
    <w:name w:val="Voetnoottekst Char"/>
    <w:basedOn w:val="Standaardalinea-lettertype"/>
    <w:link w:val="Voetnoottekst"/>
    <w:rsid w:val="00840E8F"/>
    <w:rPr>
      <w:rFonts w:ascii="Verdana" w:hAnsi="Verdana"/>
    </w:rPr>
  </w:style>
  <w:style w:type="character" w:styleId="Voetnootmarkering">
    <w:name w:val="footnote reference"/>
    <w:basedOn w:val="Standaardalinea-lettertype"/>
    <w:rsid w:val="00840E8F"/>
    <w:rPr>
      <w:vertAlign w:val="superscript"/>
    </w:rPr>
  </w:style>
  <w:style w:type="character" w:styleId="Verwijzingopmerking">
    <w:name w:val="annotation reference"/>
    <w:basedOn w:val="Standaardalinea-lettertype"/>
    <w:rsid w:val="00431C35"/>
    <w:rPr>
      <w:sz w:val="16"/>
      <w:szCs w:val="16"/>
    </w:rPr>
  </w:style>
  <w:style w:type="paragraph" w:styleId="Tekstopmerking">
    <w:name w:val="annotation text"/>
    <w:basedOn w:val="Standaard"/>
    <w:link w:val="TekstopmerkingChar"/>
    <w:rsid w:val="00431C35"/>
    <w:rPr>
      <w:sz w:val="20"/>
    </w:rPr>
  </w:style>
  <w:style w:type="character" w:customStyle="1" w:styleId="TekstopmerkingChar">
    <w:name w:val="Tekst opmerking Char"/>
    <w:basedOn w:val="Standaardalinea-lettertype"/>
    <w:link w:val="Tekstopmerking"/>
    <w:rsid w:val="00431C35"/>
    <w:rPr>
      <w:rFonts w:ascii="Verdana" w:hAnsi="Verdana"/>
    </w:rPr>
  </w:style>
  <w:style w:type="paragraph" w:styleId="Onderwerpvanopmerking">
    <w:name w:val="annotation subject"/>
    <w:basedOn w:val="Tekstopmerking"/>
    <w:next w:val="Tekstopmerking"/>
    <w:link w:val="OnderwerpvanopmerkingChar"/>
    <w:rsid w:val="00431C35"/>
    <w:rPr>
      <w:b/>
      <w:bCs/>
    </w:rPr>
  </w:style>
  <w:style w:type="character" w:customStyle="1" w:styleId="OnderwerpvanopmerkingChar">
    <w:name w:val="Onderwerp van opmerking Char"/>
    <w:basedOn w:val="TekstopmerkingChar"/>
    <w:link w:val="Onderwerpvanopmerking"/>
    <w:rsid w:val="00431C35"/>
    <w:rPr>
      <w:b/>
      <w:bCs/>
    </w:rPr>
  </w:style>
  <w:style w:type="paragraph" w:styleId="Revisie">
    <w:name w:val="Revision"/>
    <w:hidden/>
    <w:uiPriority w:val="99"/>
    <w:semiHidden/>
    <w:rsid w:val="00F43B45"/>
    <w:rPr>
      <w:rFonts w:ascii="Verdana" w:hAnsi="Verdana"/>
      <w:sz w:val="18"/>
    </w:rPr>
  </w:style>
</w:styles>
</file>

<file path=word/webSettings.xml><?xml version="1.0" encoding="utf-8"?>
<w:webSettings xmlns:r="http://schemas.openxmlformats.org/officeDocument/2006/relationships" xmlns:w="http://schemas.openxmlformats.org/wordprocessingml/2006/main">
  <w:divs>
    <w:div w:id="178468308">
      <w:bodyDiv w:val="1"/>
      <w:marLeft w:val="0"/>
      <w:marRight w:val="0"/>
      <w:marTop w:val="0"/>
      <w:marBottom w:val="0"/>
      <w:divBdr>
        <w:top w:val="none" w:sz="0" w:space="0" w:color="auto"/>
        <w:left w:val="none" w:sz="0" w:space="0" w:color="auto"/>
        <w:bottom w:val="none" w:sz="0" w:space="0" w:color="auto"/>
        <w:right w:val="none" w:sz="0" w:space="0" w:color="auto"/>
      </w:divBdr>
    </w:div>
    <w:div w:id="208224147">
      <w:bodyDiv w:val="1"/>
      <w:marLeft w:val="0"/>
      <w:marRight w:val="0"/>
      <w:marTop w:val="0"/>
      <w:marBottom w:val="0"/>
      <w:divBdr>
        <w:top w:val="none" w:sz="0" w:space="0" w:color="auto"/>
        <w:left w:val="none" w:sz="0" w:space="0" w:color="auto"/>
        <w:bottom w:val="none" w:sz="0" w:space="0" w:color="auto"/>
        <w:right w:val="none" w:sz="0" w:space="0" w:color="auto"/>
      </w:divBdr>
    </w:div>
    <w:div w:id="432022343">
      <w:bodyDiv w:val="1"/>
      <w:marLeft w:val="0"/>
      <w:marRight w:val="0"/>
      <w:marTop w:val="0"/>
      <w:marBottom w:val="0"/>
      <w:divBdr>
        <w:top w:val="none" w:sz="0" w:space="0" w:color="auto"/>
        <w:left w:val="none" w:sz="0" w:space="0" w:color="auto"/>
        <w:bottom w:val="none" w:sz="0" w:space="0" w:color="auto"/>
        <w:right w:val="none" w:sz="0" w:space="0" w:color="auto"/>
      </w:divBdr>
    </w:div>
    <w:div w:id="473917090">
      <w:bodyDiv w:val="1"/>
      <w:marLeft w:val="0"/>
      <w:marRight w:val="0"/>
      <w:marTop w:val="0"/>
      <w:marBottom w:val="0"/>
      <w:divBdr>
        <w:top w:val="none" w:sz="0" w:space="0" w:color="auto"/>
        <w:left w:val="none" w:sz="0" w:space="0" w:color="auto"/>
        <w:bottom w:val="none" w:sz="0" w:space="0" w:color="auto"/>
        <w:right w:val="none" w:sz="0" w:space="0" w:color="auto"/>
      </w:divBdr>
    </w:div>
    <w:div w:id="661154240">
      <w:bodyDiv w:val="1"/>
      <w:marLeft w:val="0"/>
      <w:marRight w:val="0"/>
      <w:marTop w:val="0"/>
      <w:marBottom w:val="0"/>
      <w:divBdr>
        <w:top w:val="none" w:sz="0" w:space="0" w:color="auto"/>
        <w:left w:val="none" w:sz="0" w:space="0" w:color="auto"/>
        <w:bottom w:val="none" w:sz="0" w:space="0" w:color="auto"/>
        <w:right w:val="none" w:sz="0" w:space="0" w:color="auto"/>
      </w:divBdr>
    </w:div>
    <w:div w:id="687483347">
      <w:bodyDiv w:val="1"/>
      <w:marLeft w:val="0"/>
      <w:marRight w:val="0"/>
      <w:marTop w:val="0"/>
      <w:marBottom w:val="0"/>
      <w:divBdr>
        <w:top w:val="none" w:sz="0" w:space="0" w:color="auto"/>
        <w:left w:val="none" w:sz="0" w:space="0" w:color="auto"/>
        <w:bottom w:val="none" w:sz="0" w:space="0" w:color="auto"/>
        <w:right w:val="none" w:sz="0" w:space="0" w:color="auto"/>
      </w:divBdr>
    </w:div>
    <w:div w:id="1019895303">
      <w:bodyDiv w:val="1"/>
      <w:marLeft w:val="0"/>
      <w:marRight w:val="0"/>
      <w:marTop w:val="0"/>
      <w:marBottom w:val="0"/>
      <w:divBdr>
        <w:top w:val="none" w:sz="0" w:space="0" w:color="auto"/>
        <w:left w:val="none" w:sz="0" w:space="0" w:color="auto"/>
        <w:bottom w:val="none" w:sz="0" w:space="0" w:color="auto"/>
        <w:right w:val="none" w:sz="0" w:space="0" w:color="auto"/>
      </w:divBdr>
    </w:div>
    <w:div w:id="1370186375">
      <w:bodyDiv w:val="1"/>
      <w:marLeft w:val="0"/>
      <w:marRight w:val="0"/>
      <w:marTop w:val="0"/>
      <w:marBottom w:val="0"/>
      <w:divBdr>
        <w:top w:val="none" w:sz="0" w:space="0" w:color="auto"/>
        <w:left w:val="none" w:sz="0" w:space="0" w:color="auto"/>
        <w:bottom w:val="none" w:sz="0" w:space="0" w:color="auto"/>
        <w:right w:val="none" w:sz="0" w:space="0" w:color="auto"/>
      </w:divBdr>
    </w:div>
    <w:div w:id="1562129200">
      <w:bodyDiv w:val="1"/>
      <w:marLeft w:val="0"/>
      <w:marRight w:val="0"/>
      <w:marTop w:val="0"/>
      <w:marBottom w:val="0"/>
      <w:divBdr>
        <w:top w:val="none" w:sz="0" w:space="0" w:color="auto"/>
        <w:left w:val="none" w:sz="0" w:space="0" w:color="auto"/>
        <w:bottom w:val="none" w:sz="0" w:space="0" w:color="auto"/>
        <w:right w:val="none" w:sz="0" w:space="0" w:color="auto"/>
      </w:divBdr>
    </w:div>
    <w:div w:id="1995639639">
      <w:bodyDiv w:val="1"/>
      <w:marLeft w:val="0"/>
      <w:marRight w:val="0"/>
      <w:marTop w:val="0"/>
      <w:marBottom w:val="0"/>
      <w:divBdr>
        <w:top w:val="none" w:sz="0" w:space="0" w:color="auto"/>
        <w:left w:val="none" w:sz="0" w:space="0" w:color="auto"/>
        <w:bottom w:val="none" w:sz="0" w:space="0" w:color="auto"/>
        <w:right w:val="none" w:sz="0" w:space="0" w:color="auto"/>
      </w:divBdr>
    </w:div>
    <w:div w:id="207115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80C63-AE6C-4CFC-ADD6-9E655F3F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Kamer</Template>
  <TotalTime>1</TotalTime>
  <Pages>7</Pages>
  <Words>2297</Words>
  <Characters>12637</Characters>
  <Application>Microsoft Office Word</Application>
  <DocSecurity>4</DocSecurity>
  <Lines>105</Lines>
  <Paragraphs>29</Paragraphs>
  <ScaleCrop>false</ScaleCrop>
  <HeadingPairs>
    <vt:vector size="2" baseType="variant">
      <vt:variant>
        <vt:lpstr>Titel</vt:lpstr>
      </vt:variant>
      <vt:variant>
        <vt:i4>1</vt:i4>
      </vt:variant>
    </vt:vector>
  </HeadingPairs>
  <TitlesOfParts>
    <vt:vector size="1" baseType="lpstr">
      <vt:lpstr>Brief kamer</vt:lpstr>
    </vt:vector>
  </TitlesOfParts>
  <Company>Rijksoverheid</Company>
  <LinksUpToDate>false</LinksUpToDate>
  <CharactersWithSpaces>14905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kamer</dc:title>
  <dc:creator>Ministerie van SZW</dc:creator>
  <cp:lastModifiedBy>NMokveld</cp:lastModifiedBy>
  <cp:revision>2</cp:revision>
  <cp:lastPrinted>2016-07-12T10:04:00Z</cp:lastPrinted>
  <dcterms:created xsi:type="dcterms:W3CDTF">2016-07-13T12:36:00Z</dcterms:created>
  <dcterms:modified xsi:type="dcterms:W3CDTF">2016-07-13T12:36:00Z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iAuteur</vt:lpwstr>
  </property>
  <property fmtid="{D5CDD505-2E9C-101B-9397-08002B2CF9AE}" pid="35" name="iBijlagen">
    <vt:lpwstr>Eénmeting banenafspraak</vt:lpwstr>
  </property>
  <property fmtid="{D5CDD505-2E9C-101B-9397-08002B2CF9AE}" pid="36" name="iCC">
    <vt:lpwstr/>
  </property>
  <property fmtid="{D5CDD505-2E9C-101B-9397-08002B2CF9AE}" pid="37" name="iChkKixCode">
    <vt:lpwstr>-1</vt:lpwstr>
  </property>
  <property fmtid="{D5CDD505-2E9C-101B-9397-08002B2CF9AE}" pid="38" name="iDatum">
    <vt:lpwstr>04-07-2016</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iKopieAan</vt:lpwstr>
  </property>
  <property fmtid="{D5CDD505-2E9C-101B-9397-08002B2CF9AE}" pid="46" name="iLeverdatum">
    <vt:lpwstr>iLeverdatum</vt:lpwstr>
  </property>
  <property fmtid="{D5CDD505-2E9C-101B-9397-08002B2CF9AE}" pid="47" name="iNamenAuteurs">
    <vt:lpwstr>iNamenAuteurs</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Resultaten één-meting banenafspraak</vt:lpwstr>
  </property>
  <property fmtid="{D5CDD505-2E9C-101B-9397-08002B2CF9AE}" pid="53" name="iOnsKenmerk">
    <vt:lpwstr>2016-0000159295</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iRapporteur</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7584</vt:lpwstr>
  </property>
  <property fmtid="{D5CDD505-2E9C-101B-9397-08002B2CF9AE}" pid="74" name="iCP1">
    <vt:lpwstr>dhr. W.S. de Jong</vt:lpwstr>
  </property>
  <property fmtid="{D5CDD505-2E9C-101B-9397-08002B2CF9AE}" pid="75" name="iNaam">
    <vt:lpwstr>dhr. W.S. de Jong</vt:lpwstr>
  </property>
  <property fmtid="{D5CDD505-2E9C-101B-9397-08002B2CF9AE}" pid="76" name="iFunctie">
    <vt:lpwstr>(senior) Beleidsmedewerker</vt:lpwstr>
  </property>
  <property fmtid="{D5CDD505-2E9C-101B-9397-08002B2CF9AE}" pid="77" name="iDoorkies1">
    <vt:lpwstr>070 333 57 45</vt:lpwstr>
  </property>
  <property fmtid="{D5CDD505-2E9C-101B-9397-08002B2CF9AE}" pid="78" name="iFaxM">
    <vt:lpwstr/>
  </property>
  <property fmtid="{D5CDD505-2E9C-101B-9397-08002B2CF9AE}" pid="79" name="iEmail1">
    <vt:lpwstr>WSdJong@minszw.nl</vt:lpwstr>
  </property>
  <property fmtid="{D5CDD505-2E9C-101B-9397-08002B2CF9AE}" pid="80" name="iAfdeling">
    <vt:lpwstr>WR/WSB</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-1</vt:lpwstr>
  </property>
  <property fmtid="{D5CDD505-2E9C-101B-9397-08002B2CF9AE}" pid="89" name="iCP">
    <vt:lpwstr>dhr. W.S. de Jong</vt:lpwstr>
  </property>
  <property fmtid="{D5CDD505-2E9C-101B-9397-08002B2CF9AE}" pid="90" name="iDoorkies">
    <vt:lpwstr>070 333 57 45</vt:lpwstr>
  </property>
  <property fmtid="{D5CDD505-2E9C-101B-9397-08002B2CF9AE}" pid="91" name="iEMail">
    <vt:lpwstr>WSdJong@minszw.nl</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Staatssecretaris (Jetta)</vt:lpwstr>
  </property>
  <property fmtid="{D5CDD505-2E9C-101B-9397-08002B2CF9AE}" pid="96" name="iOndertekenaar">
    <vt:lpwstr>-1</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ies>
</file>